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24"/>
        </w:rPr>
      </w:pPr>
      <w:bookmarkStart w:id="28" w:name="_GoBack"/>
      <w:bookmarkEnd w:id="28"/>
      <w:r>
        <w:rPr>
          <w:rFonts w:hint="eastAsia" w:ascii="黑体" w:hAnsi="黑体" w:eastAsia="黑体"/>
          <w:b/>
          <w:sz w:val="36"/>
          <w:szCs w:val="24"/>
        </w:rPr>
        <w:t>双重</w:t>
      </w:r>
      <w:r>
        <w:rPr>
          <w:rFonts w:ascii="黑体" w:hAnsi="黑体" w:eastAsia="黑体"/>
          <w:b/>
          <w:sz w:val="36"/>
          <w:szCs w:val="24"/>
        </w:rPr>
        <w:t>预防体系提问内容-</w:t>
      </w:r>
      <w:r>
        <w:rPr>
          <w:rFonts w:hint="eastAsia" w:ascii="黑体" w:hAnsi="黑体" w:eastAsia="黑体"/>
          <w:b/>
          <w:sz w:val="36"/>
          <w:szCs w:val="24"/>
        </w:rPr>
        <w:t>应知应会内容</w:t>
      </w:r>
    </w:p>
    <w:p>
      <w:pPr>
        <w:rPr>
          <w:rFonts w:ascii="黑体" w:hAnsi="黑体" w:eastAsia="黑体"/>
          <w:b/>
          <w:color w:val="FF0000"/>
          <w:sz w:val="24"/>
          <w:szCs w:val="24"/>
        </w:rPr>
      </w:pPr>
      <w:r>
        <w:rPr>
          <w:rFonts w:hint="eastAsia" w:ascii="黑体" w:hAnsi="黑体" w:eastAsia="黑体"/>
          <w:b/>
          <w:sz w:val="24"/>
          <w:szCs w:val="24"/>
        </w:rPr>
        <w:t>1.</w:t>
      </w:r>
      <w:r>
        <w:rPr>
          <w:rFonts w:ascii="黑体" w:hAnsi="黑体" w:eastAsia="黑体"/>
          <w:b/>
          <w:sz w:val="24"/>
          <w:szCs w:val="24"/>
        </w:rPr>
        <w:t xml:space="preserve"> </w:t>
      </w:r>
      <w:r>
        <w:rPr>
          <w:rFonts w:hint="eastAsia" w:ascii="黑体" w:hAnsi="黑体" w:eastAsia="黑体"/>
          <w:b/>
          <w:color w:val="FF0000"/>
          <w:sz w:val="24"/>
          <w:szCs w:val="24"/>
        </w:rPr>
        <w:t>安全两个体系：安全生产风险分级管控体系、生产安全事故隐患排查治理体系。</w:t>
      </w:r>
    </w:p>
    <w:p>
      <w:pPr>
        <w:rPr>
          <w:rFonts w:ascii="黑体" w:hAnsi="黑体" w:eastAsia="黑体"/>
          <w:b/>
          <w:sz w:val="24"/>
          <w:szCs w:val="24"/>
        </w:rPr>
      </w:pPr>
      <w:r>
        <w:rPr>
          <w:rFonts w:hint="eastAsia" w:ascii="黑体" w:hAnsi="黑体" w:eastAsia="黑体"/>
          <w:b/>
          <w:sz w:val="24"/>
          <w:szCs w:val="24"/>
        </w:rPr>
        <w:t>2.风险：</w:t>
      </w:r>
      <w:r>
        <w:rPr>
          <w:rFonts w:ascii="黑体" w:hAnsi="黑体" w:eastAsia="黑体"/>
          <w:b/>
          <w:sz w:val="24"/>
          <w:szCs w:val="24"/>
        </w:rPr>
        <w:t>生产安全事故或健康损害事件发生的可能性和严重性的组合。</w:t>
      </w:r>
    </w:p>
    <w:p>
      <w:pPr>
        <w:rPr>
          <w:rFonts w:ascii="仿宋" w:hAnsi="仿宋" w:eastAsia="仿宋"/>
          <w:b/>
          <w:sz w:val="24"/>
          <w:szCs w:val="24"/>
        </w:rPr>
      </w:pPr>
      <w:r>
        <w:rPr>
          <w:rFonts w:ascii="仿宋" w:hAnsi="仿宋" w:eastAsia="仿宋"/>
          <w:b/>
          <w:sz w:val="24"/>
          <w:szCs w:val="24"/>
        </w:rPr>
        <w:t>风险=可能性×严重性</w:t>
      </w:r>
      <w:r>
        <w:rPr>
          <w:rFonts w:hint="eastAsia" w:ascii="仿宋" w:hAnsi="仿宋" w:eastAsia="仿宋"/>
          <w:b/>
          <w:sz w:val="24"/>
          <w:szCs w:val="24"/>
        </w:rPr>
        <w:t>（</w:t>
      </w:r>
      <w:r>
        <w:rPr>
          <w:rFonts w:ascii="仿宋" w:hAnsi="仿宋" w:eastAsia="仿宋"/>
          <w:b/>
          <w:sz w:val="24"/>
          <w:szCs w:val="24"/>
        </w:rPr>
        <w:t>R=</w:t>
      </w:r>
      <w:r>
        <w:rPr>
          <w:rFonts w:hint="eastAsia" w:ascii="仿宋" w:hAnsi="仿宋" w:eastAsia="仿宋"/>
          <w:b/>
          <w:sz w:val="24"/>
          <w:szCs w:val="24"/>
        </w:rPr>
        <w:t>L</w:t>
      </w:r>
      <w:r>
        <w:rPr>
          <w:rFonts w:ascii="仿宋" w:hAnsi="仿宋" w:eastAsia="仿宋"/>
          <w:b/>
          <w:sz w:val="24"/>
          <w:szCs w:val="24"/>
        </w:rPr>
        <w:t>*S</w:t>
      </w:r>
      <w:r>
        <w:rPr>
          <w:rFonts w:hint="eastAsia" w:ascii="仿宋" w:hAnsi="仿宋" w:eastAsia="仿宋"/>
          <w:b/>
          <w:sz w:val="24"/>
          <w:szCs w:val="24"/>
        </w:rPr>
        <w:t xml:space="preserve">）；R:危险性（也称风险度）：事故发生的可能性与事件后果的结合，R越大危险性越大；L: </w:t>
      </w:r>
      <w:r>
        <w:rPr>
          <w:rFonts w:ascii="仿宋" w:hAnsi="仿宋" w:eastAsia="仿宋"/>
          <w:b/>
          <w:sz w:val="24"/>
          <w:szCs w:val="24"/>
        </w:rPr>
        <w:t>事故发生的</w:t>
      </w:r>
      <w:r>
        <w:rPr>
          <w:rFonts w:hint="eastAsia" w:ascii="仿宋" w:hAnsi="仿宋" w:eastAsia="仿宋"/>
          <w:b/>
          <w:sz w:val="24"/>
          <w:szCs w:val="24"/>
        </w:rPr>
        <w:t>可能性(1-5)； S: 事故后果严重性(1-5)</w:t>
      </w:r>
      <w:r>
        <w:rPr>
          <w:rFonts w:ascii="仿宋" w:hAnsi="仿宋" w:eastAsia="仿宋"/>
          <w:b/>
          <w:sz w:val="24"/>
          <w:szCs w:val="24"/>
        </w:rPr>
        <w:t>。</w:t>
      </w:r>
    </w:p>
    <w:p>
      <w:pPr>
        <w:rPr>
          <w:rFonts w:ascii="黑体" w:hAnsi="黑体" w:eastAsia="黑体"/>
          <w:b/>
          <w:sz w:val="24"/>
          <w:szCs w:val="24"/>
        </w:rPr>
      </w:pPr>
      <w:r>
        <w:rPr>
          <w:rFonts w:hint="eastAsia" w:ascii="黑体" w:hAnsi="黑体" w:eastAsia="黑体"/>
          <w:b/>
          <w:color w:val="FF0000"/>
          <w:sz w:val="24"/>
          <w:szCs w:val="24"/>
        </w:rPr>
        <w:t>3、风险点：</w:t>
      </w:r>
      <w:r>
        <w:rPr>
          <w:rFonts w:ascii="黑体" w:hAnsi="黑体" w:eastAsia="黑体"/>
          <w:b/>
          <w:sz w:val="24"/>
          <w:szCs w:val="24"/>
        </w:rPr>
        <w:t>风险伴随的设施、部位、场所和区域，以及在设施、部位、场所和区域实施的伴随风险的作业活动，或以上两者的组合</w:t>
      </w:r>
      <w:r>
        <w:rPr>
          <w:rFonts w:hint="eastAsia" w:ascii="黑体" w:hAnsi="黑体" w:eastAsia="黑体"/>
          <w:b/>
          <w:sz w:val="24"/>
          <w:szCs w:val="24"/>
        </w:rPr>
        <w:t>。</w:t>
      </w:r>
    </w:p>
    <w:p>
      <w:pPr>
        <w:rPr>
          <w:rFonts w:ascii="仿宋" w:hAnsi="仿宋" w:eastAsia="仿宋"/>
          <w:b/>
          <w:sz w:val="24"/>
          <w:szCs w:val="24"/>
        </w:rPr>
      </w:pPr>
      <w:r>
        <w:rPr>
          <w:rFonts w:hint="eastAsia" w:ascii="仿宋" w:hAnsi="仿宋" w:eastAsia="仿宋"/>
          <w:b/>
          <w:sz w:val="24"/>
          <w:szCs w:val="24"/>
        </w:rPr>
        <w:t>（</w:t>
      </w:r>
      <w:bookmarkStart w:id="0" w:name="_Toc479257277"/>
      <w:bookmarkStart w:id="1" w:name="_Toc475539115"/>
      <w:bookmarkStart w:id="2" w:name="_Toc475106648"/>
      <w:bookmarkStart w:id="3" w:name="_Toc483486510"/>
      <w:bookmarkStart w:id="4" w:name="_Toc483486600"/>
      <w:r>
        <w:rPr>
          <w:rFonts w:hint="eastAsia" w:ascii="仿宋" w:hAnsi="仿宋" w:eastAsia="仿宋"/>
          <w:b/>
          <w:sz w:val="24"/>
          <w:szCs w:val="24"/>
        </w:rPr>
        <w:t>风险点划分原则</w:t>
      </w:r>
      <w:bookmarkEnd w:id="0"/>
      <w:bookmarkEnd w:id="1"/>
      <w:bookmarkEnd w:id="2"/>
      <w:bookmarkEnd w:id="3"/>
      <w:bookmarkEnd w:id="4"/>
      <w:r>
        <w:rPr>
          <w:rFonts w:hint="eastAsia" w:ascii="仿宋" w:hAnsi="仿宋" w:eastAsia="仿宋"/>
          <w:b/>
          <w:sz w:val="24"/>
          <w:szCs w:val="24"/>
        </w:rPr>
        <w:t>：大小适中、便于分类、功能独立、易于管理、范围清晰；作业活动应覆盖生产经营全过程所有常规和非常规作业，重点考虑高风险作业）</w:t>
      </w:r>
    </w:p>
    <w:p>
      <w:pPr>
        <w:rPr>
          <w:rFonts w:ascii="黑体" w:hAnsi="黑体" w:eastAsia="黑体"/>
          <w:b/>
          <w:sz w:val="24"/>
          <w:szCs w:val="24"/>
        </w:rPr>
      </w:pPr>
      <w:r>
        <w:rPr>
          <w:rFonts w:hint="eastAsia" w:ascii="黑体" w:hAnsi="黑体" w:eastAsia="黑体"/>
          <w:b/>
          <w:sz w:val="24"/>
          <w:szCs w:val="24"/>
        </w:rPr>
        <w:t>4、危险源：</w:t>
      </w:r>
      <w:r>
        <w:rPr>
          <w:rFonts w:ascii="黑体" w:hAnsi="黑体" w:eastAsia="黑体"/>
          <w:b/>
          <w:sz w:val="24"/>
          <w:szCs w:val="24"/>
        </w:rPr>
        <w:t>可能导致人身伤害和（或）健康损害和（或）财产损失的根源、状态或行为，或它们的组合</w:t>
      </w:r>
      <w:r>
        <w:rPr>
          <w:rFonts w:hint="eastAsia" w:ascii="黑体" w:hAnsi="黑体" w:eastAsia="黑体"/>
          <w:b/>
          <w:sz w:val="24"/>
          <w:szCs w:val="24"/>
        </w:rPr>
        <w:t>。</w:t>
      </w:r>
      <w:r>
        <w:rPr>
          <w:rFonts w:hint="eastAsia" w:ascii="仿宋" w:hAnsi="仿宋" w:eastAsia="仿宋"/>
          <w:b/>
          <w:sz w:val="24"/>
          <w:szCs w:val="24"/>
        </w:rPr>
        <w:t>(分为人的因素、物的因素、环境因素和管理因素四类)</w:t>
      </w:r>
    </w:p>
    <w:p>
      <w:pPr>
        <w:rPr>
          <w:rFonts w:ascii="黑体" w:hAnsi="黑体" w:eastAsia="黑体"/>
          <w:b/>
          <w:sz w:val="24"/>
          <w:szCs w:val="24"/>
        </w:rPr>
      </w:pPr>
      <w:r>
        <w:rPr>
          <w:rFonts w:hint="eastAsia" w:ascii="黑体" w:hAnsi="黑体" w:eastAsia="黑体"/>
          <w:b/>
          <w:sz w:val="24"/>
          <w:szCs w:val="24"/>
        </w:rPr>
        <w:t>5、危险源辨识：识别危险源的存在并确定其分布和特性的过程。</w:t>
      </w:r>
    </w:p>
    <w:p>
      <w:pPr>
        <w:rPr>
          <w:rFonts w:ascii="仿宋" w:hAnsi="仿宋" w:eastAsia="仿宋"/>
          <w:b/>
          <w:sz w:val="24"/>
          <w:szCs w:val="24"/>
        </w:rPr>
      </w:pPr>
      <w:r>
        <w:rPr>
          <w:rFonts w:hint="eastAsia" w:ascii="仿宋" w:hAnsi="仿宋" w:eastAsia="仿宋"/>
          <w:b/>
          <w:sz w:val="24"/>
          <w:szCs w:val="24"/>
        </w:rPr>
        <w:t>（辨识对象：潜在的人的不安全行为、物的不安全状态、环境缺陷和管理缺陷危害因素）</w:t>
      </w:r>
    </w:p>
    <w:p>
      <w:pPr>
        <w:rPr>
          <w:rFonts w:ascii="仿宋" w:hAnsi="仿宋" w:eastAsia="仿宋"/>
          <w:b/>
          <w:sz w:val="24"/>
          <w:szCs w:val="24"/>
        </w:rPr>
      </w:pPr>
      <w:r>
        <w:rPr>
          <w:rFonts w:hint="eastAsia" w:ascii="仿宋" w:hAnsi="仿宋" w:eastAsia="仿宋"/>
          <w:b/>
          <w:sz w:val="24"/>
          <w:szCs w:val="24"/>
        </w:rPr>
        <w:t>（</w:t>
      </w:r>
      <w:r>
        <w:rPr>
          <w:rFonts w:hint="eastAsia" w:ascii="黑体" w:hAnsi="黑体" w:eastAsia="黑体"/>
          <w:b/>
          <w:color w:val="FF0000"/>
          <w:sz w:val="24"/>
          <w:szCs w:val="24"/>
        </w:rPr>
        <w:t>辨识方法：</w:t>
      </w:r>
      <w:r>
        <w:rPr>
          <w:rFonts w:hint="eastAsia" w:ascii="仿宋" w:hAnsi="仿宋" w:eastAsia="仿宋"/>
          <w:b/>
          <w:color w:val="FF0000"/>
          <w:sz w:val="24"/>
          <w:szCs w:val="24"/>
        </w:rPr>
        <w:t>设备设施采用安全检查表法（简称SCL）；</w:t>
      </w:r>
      <w:bookmarkStart w:id="5" w:name="_Toc475539119"/>
      <w:bookmarkStart w:id="6" w:name="_Toc475106652"/>
      <w:r>
        <w:rPr>
          <w:rFonts w:hint="eastAsia" w:ascii="仿宋" w:hAnsi="仿宋" w:eastAsia="仿宋"/>
          <w:b/>
          <w:color w:val="FF0000"/>
          <w:sz w:val="24"/>
          <w:szCs w:val="24"/>
        </w:rPr>
        <w:t>作业活动采用工作危害分析法（简称JHA）</w:t>
      </w:r>
      <w:bookmarkEnd w:id="5"/>
      <w:bookmarkEnd w:id="6"/>
      <w:r>
        <w:rPr>
          <w:rFonts w:hint="eastAsia" w:ascii="仿宋" w:hAnsi="仿宋" w:eastAsia="仿宋"/>
          <w:b/>
          <w:color w:val="FF0000"/>
          <w:sz w:val="24"/>
          <w:szCs w:val="24"/>
        </w:rPr>
        <w:t>；</w:t>
      </w:r>
      <w:r>
        <w:rPr>
          <w:rFonts w:hint="eastAsia" w:ascii="仿宋" w:hAnsi="仿宋" w:eastAsia="仿宋"/>
          <w:b/>
          <w:sz w:val="24"/>
          <w:szCs w:val="24"/>
        </w:rPr>
        <w:t>复杂工艺采用危险与可操作性分析法（HAZOP））</w:t>
      </w:r>
    </w:p>
    <w:p>
      <w:pPr>
        <w:rPr>
          <w:rFonts w:ascii="黑体" w:hAnsi="黑体" w:eastAsia="黑体"/>
          <w:b/>
          <w:sz w:val="24"/>
          <w:szCs w:val="24"/>
        </w:rPr>
      </w:pPr>
      <w:r>
        <w:rPr>
          <w:rFonts w:hint="eastAsia" w:ascii="黑体" w:hAnsi="黑体" w:eastAsia="黑体"/>
          <w:b/>
          <w:sz w:val="24"/>
          <w:szCs w:val="24"/>
        </w:rPr>
        <w:t>6、风险评价：</w:t>
      </w:r>
      <w:r>
        <w:rPr>
          <w:rFonts w:ascii="黑体" w:hAnsi="黑体" w:eastAsia="黑体"/>
          <w:b/>
          <w:sz w:val="24"/>
          <w:szCs w:val="24"/>
        </w:rPr>
        <w:t>对危险源导致的风险进行分析、评估、分级，对现有控制措施的充分性加以考虑，以及对风险是否可接受予以确定的过程。</w:t>
      </w:r>
    </w:p>
    <w:p>
      <w:pPr>
        <w:ind w:firstLine="241" w:firstLineChars="100"/>
        <w:rPr>
          <w:rFonts w:ascii="仿宋" w:hAnsi="仿宋" w:eastAsia="仿宋"/>
          <w:b/>
          <w:color w:val="FF0000"/>
          <w:sz w:val="24"/>
          <w:szCs w:val="24"/>
        </w:rPr>
      </w:pPr>
      <w:bookmarkStart w:id="7" w:name="_Toc475539124"/>
      <w:bookmarkStart w:id="8" w:name="_Toc468956174"/>
      <w:bookmarkStart w:id="9" w:name="_Toc472345267"/>
      <w:bookmarkStart w:id="10" w:name="_Toc475106657"/>
      <w:bookmarkStart w:id="11" w:name="_Toc468797566"/>
      <w:bookmarkStart w:id="12" w:name="_Toc468959290"/>
      <w:bookmarkStart w:id="13" w:name="_Toc479257284"/>
      <w:bookmarkStart w:id="14" w:name="_Toc479171743"/>
      <w:bookmarkStart w:id="15" w:name="_Toc483486517"/>
      <w:bookmarkStart w:id="16" w:name="_Toc483486607"/>
      <w:r>
        <w:rPr>
          <w:rFonts w:hint="eastAsia" w:ascii="仿宋" w:hAnsi="仿宋" w:eastAsia="仿宋"/>
          <w:b/>
          <w:color w:val="FF0000"/>
          <w:sz w:val="24"/>
          <w:szCs w:val="24"/>
        </w:rPr>
        <w:t>风险评价</w:t>
      </w:r>
      <w:bookmarkEnd w:id="7"/>
      <w:bookmarkEnd w:id="8"/>
      <w:bookmarkEnd w:id="9"/>
      <w:bookmarkEnd w:id="10"/>
      <w:bookmarkEnd w:id="11"/>
      <w:bookmarkEnd w:id="12"/>
      <w:bookmarkEnd w:id="13"/>
      <w:bookmarkEnd w:id="14"/>
      <w:bookmarkEnd w:id="15"/>
      <w:bookmarkEnd w:id="16"/>
      <w:r>
        <w:rPr>
          <w:rFonts w:hint="eastAsia" w:ascii="仿宋" w:hAnsi="仿宋" w:eastAsia="仿宋"/>
          <w:b/>
          <w:color w:val="FF0000"/>
          <w:sz w:val="24"/>
          <w:szCs w:val="24"/>
        </w:rPr>
        <w:t>方法:风险矩阵法（简称LS），</w:t>
      </w:r>
      <w:r>
        <w:rPr>
          <w:rFonts w:ascii="仿宋" w:hAnsi="仿宋" w:eastAsia="仿宋"/>
          <w:b/>
          <w:color w:val="FF0000"/>
          <w:sz w:val="24"/>
          <w:szCs w:val="24"/>
        </w:rPr>
        <w:t>R=L</w:t>
      </w:r>
      <w:r>
        <w:rPr>
          <w:rFonts w:hint="eastAsia" w:ascii="仿宋" w:hAnsi="仿宋" w:eastAsia="仿宋"/>
          <w:b/>
          <w:color w:val="FF0000"/>
          <w:sz w:val="24"/>
          <w:szCs w:val="24"/>
        </w:rPr>
        <w:t>×</w:t>
      </w:r>
      <w:r>
        <w:rPr>
          <w:rFonts w:ascii="仿宋" w:hAnsi="仿宋" w:eastAsia="仿宋"/>
          <w:b/>
          <w:color w:val="FF0000"/>
          <w:sz w:val="24"/>
          <w:szCs w:val="24"/>
        </w:rPr>
        <w:t>S</w:t>
      </w:r>
      <w:r>
        <w:rPr>
          <w:rFonts w:hint="eastAsia" w:ascii="仿宋" w:hAnsi="仿宋" w:eastAsia="仿宋"/>
          <w:b/>
          <w:color w:val="FF0000"/>
          <w:sz w:val="24"/>
          <w:szCs w:val="24"/>
        </w:rPr>
        <w:t xml:space="preserve"> ，</w:t>
      </w:r>
    </w:p>
    <w:p>
      <w:pPr>
        <w:rPr>
          <w:rFonts w:ascii="黑体" w:hAnsi="黑体" w:eastAsia="黑体"/>
          <w:b/>
          <w:sz w:val="24"/>
          <w:szCs w:val="24"/>
        </w:rPr>
      </w:pPr>
      <w:r>
        <w:rPr>
          <w:rFonts w:hint="eastAsia" w:ascii="黑体" w:hAnsi="黑体" w:eastAsia="黑体"/>
          <w:b/>
          <w:sz w:val="24"/>
          <w:szCs w:val="24"/>
        </w:rPr>
        <w:t>7、风险分级：</w:t>
      </w:r>
      <w:r>
        <w:rPr>
          <w:rFonts w:ascii="黑体" w:hAnsi="黑体" w:eastAsia="黑体"/>
          <w:b/>
          <w:sz w:val="24"/>
          <w:szCs w:val="24"/>
        </w:rPr>
        <w:t>通过科学、合理方法对危险源所伴随的风险进行定性或定量评价，根据评价结果划分等级。</w:t>
      </w:r>
    </w:p>
    <w:p>
      <w:pPr>
        <w:ind w:firstLine="120" w:firstLineChars="50"/>
        <w:rPr>
          <w:rFonts w:ascii="仿宋" w:hAnsi="仿宋" w:eastAsia="仿宋"/>
          <w:b/>
          <w:sz w:val="24"/>
          <w:szCs w:val="24"/>
        </w:rPr>
      </w:pPr>
      <w:r>
        <w:rPr>
          <w:rFonts w:hint="eastAsia" w:ascii="仿宋" w:hAnsi="仿宋" w:eastAsia="仿宋"/>
          <w:b/>
          <w:color w:val="FF0000"/>
          <w:sz w:val="24"/>
          <w:szCs w:val="24"/>
        </w:rPr>
        <w:t>风险等级分5级</w:t>
      </w:r>
      <w:r>
        <w:rPr>
          <w:rFonts w:hint="eastAsia" w:ascii="仿宋" w:hAnsi="仿宋" w:eastAsia="仿宋"/>
          <w:b/>
          <w:sz w:val="24"/>
          <w:szCs w:val="24"/>
        </w:rPr>
        <w:t>：A、B、</w:t>
      </w:r>
      <w:r>
        <w:rPr>
          <w:rFonts w:ascii="仿宋" w:hAnsi="仿宋" w:eastAsia="仿宋"/>
          <w:b/>
          <w:sz w:val="24"/>
          <w:szCs w:val="24"/>
        </w:rPr>
        <w:t>C</w:t>
      </w:r>
      <w:r>
        <w:rPr>
          <w:rFonts w:hint="eastAsia" w:ascii="仿宋" w:hAnsi="仿宋" w:eastAsia="仿宋"/>
          <w:b/>
          <w:sz w:val="24"/>
          <w:szCs w:val="24"/>
        </w:rPr>
        <w:t>、</w:t>
      </w:r>
      <w:r>
        <w:rPr>
          <w:rFonts w:ascii="仿宋" w:hAnsi="仿宋" w:eastAsia="仿宋"/>
          <w:b/>
          <w:sz w:val="24"/>
          <w:szCs w:val="24"/>
        </w:rPr>
        <w:t>D</w:t>
      </w:r>
      <w:r>
        <w:rPr>
          <w:rFonts w:hint="eastAsia" w:ascii="仿宋" w:hAnsi="仿宋" w:eastAsia="仿宋"/>
          <w:b/>
          <w:sz w:val="24"/>
          <w:szCs w:val="24"/>
        </w:rPr>
        <w:t>、</w:t>
      </w:r>
      <w:r>
        <w:rPr>
          <w:rFonts w:ascii="仿宋" w:hAnsi="仿宋" w:eastAsia="仿宋"/>
          <w:b/>
          <w:sz w:val="24"/>
          <w:szCs w:val="24"/>
        </w:rPr>
        <w:t>E</w:t>
      </w:r>
      <w:r>
        <w:rPr>
          <w:rFonts w:hint="eastAsia" w:ascii="仿宋" w:hAnsi="仿宋" w:eastAsia="仿宋"/>
          <w:b/>
          <w:sz w:val="24"/>
          <w:szCs w:val="24"/>
        </w:rPr>
        <w:t>（1、2、3、4、5）级，极其危险、高度危险、显著危险、轻度危险、稍有危险。</w:t>
      </w:r>
    </w:p>
    <w:p>
      <w:pPr>
        <w:ind w:firstLine="120" w:firstLineChars="50"/>
        <w:rPr>
          <w:rFonts w:ascii="仿宋" w:hAnsi="仿宋" w:eastAsia="仿宋"/>
          <w:b/>
          <w:sz w:val="24"/>
          <w:szCs w:val="24"/>
        </w:rPr>
      </w:pPr>
      <w:r>
        <w:rPr>
          <w:rFonts w:hint="eastAsia" w:ascii="仿宋" w:hAnsi="仿宋" w:eastAsia="仿宋"/>
          <w:b/>
          <w:color w:val="FF0000"/>
          <w:sz w:val="24"/>
          <w:szCs w:val="24"/>
        </w:rPr>
        <w:t>管控</w:t>
      </w:r>
      <w:r>
        <w:rPr>
          <w:rFonts w:ascii="仿宋" w:hAnsi="仿宋" w:eastAsia="仿宋"/>
          <w:b/>
          <w:color w:val="FF0000"/>
          <w:sz w:val="24"/>
          <w:szCs w:val="24"/>
        </w:rPr>
        <w:t>级别分</w:t>
      </w:r>
      <w:r>
        <w:rPr>
          <w:rFonts w:hint="eastAsia" w:ascii="仿宋" w:hAnsi="仿宋" w:eastAsia="仿宋"/>
          <w:b/>
          <w:color w:val="FF0000"/>
          <w:sz w:val="24"/>
          <w:szCs w:val="24"/>
        </w:rPr>
        <w:t>4级</w:t>
      </w:r>
      <w:r>
        <w:rPr>
          <w:rFonts w:ascii="仿宋" w:hAnsi="仿宋" w:eastAsia="仿宋"/>
          <w:b/>
          <w:sz w:val="24"/>
          <w:szCs w:val="24"/>
        </w:rPr>
        <w:t>：</w:t>
      </w:r>
      <w:r>
        <w:rPr>
          <w:rFonts w:hint="eastAsia" w:ascii="仿宋" w:hAnsi="仿宋" w:eastAsia="仿宋"/>
          <w:b/>
          <w:sz w:val="24"/>
          <w:szCs w:val="24"/>
        </w:rPr>
        <w:t>重大风险、较大风险、一般风险和低风险，分别用“</w:t>
      </w:r>
      <w:r>
        <w:rPr>
          <w:rFonts w:hint="eastAsia" w:ascii="仿宋" w:hAnsi="仿宋" w:eastAsia="仿宋"/>
          <w:b/>
          <w:color w:val="FF0000"/>
          <w:sz w:val="24"/>
          <w:szCs w:val="24"/>
        </w:rPr>
        <w:t>红橙黄蓝</w:t>
      </w:r>
      <w:r>
        <w:rPr>
          <w:rFonts w:hint="eastAsia" w:ascii="仿宋" w:hAnsi="仿宋" w:eastAsia="仿宋"/>
          <w:b/>
          <w:sz w:val="24"/>
          <w:szCs w:val="24"/>
        </w:rPr>
        <w:t>”四种颜色标示，</w:t>
      </w:r>
      <w:r>
        <w:rPr>
          <w:rFonts w:ascii="仿宋" w:hAnsi="仿宋" w:eastAsia="仿宋"/>
          <w:b/>
          <w:sz w:val="24"/>
          <w:szCs w:val="24"/>
        </w:rPr>
        <w:t xml:space="preserve"> 实施分级管控</w:t>
      </w:r>
      <w:r>
        <w:rPr>
          <w:rFonts w:hint="eastAsia" w:ascii="仿宋" w:hAnsi="仿宋" w:eastAsia="仿宋"/>
          <w:b/>
          <w:sz w:val="24"/>
          <w:szCs w:val="24"/>
        </w:rPr>
        <w:t>，详见附表</w:t>
      </w:r>
      <w:r>
        <w:rPr>
          <w:rFonts w:ascii="仿宋" w:hAnsi="仿宋" w:eastAsia="仿宋"/>
          <w:b/>
          <w:sz w:val="24"/>
          <w:szCs w:val="24"/>
        </w:rPr>
        <w:t>。</w:t>
      </w:r>
    </w:p>
    <w:p>
      <w:pPr>
        <w:rPr>
          <w:rFonts w:ascii="黑体" w:hAnsi="黑体" w:eastAsia="黑体"/>
          <w:b/>
          <w:sz w:val="24"/>
          <w:szCs w:val="24"/>
        </w:rPr>
      </w:pPr>
      <w:r>
        <w:rPr>
          <w:rFonts w:hint="eastAsia" w:ascii="黑体" w:hAnsi="黑体" w:eastAsia="黑体"/>
          <w:b/>
          <w:sz w:val="24"/>
          <w:szCs w:val="24"/>
        </w:rPr>
        <w:t>8、风险分级管控：</w:t>
      </w:r>
      <w:r>
        <w:rPr>
          <w:rFonts w:ascii="黑体" w:hAnsi="黑体" w:eastAsia="黑体"/>
          <w:b/>
          <w:sz w:val="24"/>
          <w:szCs w:val="24"/>
        </w:rPr>
        <w:t>按照风险不同级别、所需管控资源、管控能力、管控措施复杂及难易程度等因素而确定不同管控层级的风险管控方式。</w:t>
      </w:r>
    </w:p>
    <w:p>
      <w:pPr>
        <w:rPr>
          <w:rFonts w:ascii="黑体" w:hAnsi="黑体" w:eastAsia="黑体"/>
          <w:b/>
          <w:sz w:val="24"/>
          <w:szCs w:val="24"/>
        </w:rPr>
      </w:pPr>
      <w:r>
        <w:rPr>
          <w:rFonts w:hint="eastAsia" w:ascii="黑体" w:hAnsi="黑体" w:eastAsia="黑体"/>
          <w:b/>
          <w:sz w:val="24"/>
          <w:szCs w:val="24"/>
        </w:rPr>
        <w:t>9、风险控制措施：</w:t>
      </w:r>
      <w:r>
        <w:rPr>
          <w:rFonts w:ascii="黑体" w:hAnsi="黑体" w:eastAsia="黑体"/>
          <w:b/>
          <w:sz w:val="24"/>
          <w:szCs w:val="24"/>
        </w:rPr>
        <w:t>企业为将风险降低至可接受程度，针对该风险而采取的相应控制方法和手段。</w:t>
      </w:r>
    </w:p>
    <w:p>
      <w:pPr>
        <w:rPr>
          <w:rFonts w:ascii="仿宋" w:hAnsi="仿宋" w:eastAsia="仿宋"/>
          <w:b/>
          <w:sz w:val="24"/>
          <w:szCs w:val="24"/>
        </w:rPr>
      </w:pPr>
      <w:r>
        <w:rPr>
          <w:rFonts w:hint="eastAsia" w:ascii="仿宋" w:hAnsi="仿宋" w:eastAsia="仿宋"/>
          <w:b/>
          <w:sz w:val="24"/>
          <w:szCs w:val="24"/>
        </w:rPr>
        <w:t>（</w:t>
      </w:r>
      <w:bookmarkStart w:id="17" w:name="_Toc475539130"/>
      <w:bookmarkStart w:id="18" w:name="_Toc475106663"/>
      <w:r>
        <w:rPr>
          <w:rFonts w:hint="eastAsia" w:ascii="仿宋" w:hAnsi="仿宋" w:eastAsia="仿宋"/>
          <w:b/>
          <w:color w:val="FF0000"/>
          <w:sz w:val="24"/>
          <w:szCs w:val="24"/>
        </w:rPr>
        <w:t>5类措施：工程技术措施、管理措施、培训教育、个体防护、应急处置</w:t>
      </w:r>
      <w:bookmarkEnd w:id="17"/>
      <w:bookmarkEnd w:id="18"/>
      <w:r>
        <w:rPr>
          <w:rFonts w:hint="eastAsia" w:ascii="仿宋" w:hAnsi="仿宋" w:eastAsia="仿宋"/>
          <w:b/>
          <w:sz w:val="24"/>
          <w:szCs w:val="24"/>
        </w:rPr>
        <w:t>）</w:t>
      </w:r>
    </w:p>
    <w:p>
      <w:pPr>
        <w:rPr>
          <w:rFonts w:ascii="黑体" w:hAnsi="黑体" w:eastAsia="黑体"/>
          <w:b/>
          <w:sz w:val="24"/>
          <w:szCs w:val="24"/>
        </w:rPr>
      </w:pPr>
      <w:r>
        <w:rPr>
          <w:rFonts w:hint="eastAsia" w:ascii="黑体" w:hAnsi="黑体" w:eastAsia="黑体"/>
          <w:b/>
          <w:sz w:val="24"/>
          <w:szCs w:val="24"/>
        </w:rPr>
        <w:t>10、可接受风险:</w:t>
      </w:r>
      <w:r>
        <w:rPr>
          <w:rFonts w:ascii="黑体" w:hAnsi="黑体" w:eastAsia="黑体"/>
          <w:b/>
          <w:sz w:val="24"/>
          <w:szCs w:val="24"/>
        </w:rPr>
        <w:t xml:space="preserve"> </w:t>
      </w:r>
      <w:r>
        <w:rPr>
          <w:rFonts w:hint="eastAsia" w:ascii="黑体" w:hAnsi="黑体" w:eastAsia="黑体"/>
          <w:b/>
          <w:sz w:val="24"/>
          <w:szCs w:val="24"/>
        </w:rPr>
        <w:t xml:space="preserve">根据企业法律义务和职业健康安全方针已被企业降至可容许程度的风险。 </w:t>
      </w:r>
    </w:p>
    <w:p>
      <w:pPr>
        <w:rPr>
          <w:rFonts w:ascii="黑体" w:hAnsi="黑体" w:eastAsia="黑体"/>
          <w:sz w:val="24"/>
          <w:szCs w:val="24"/>
        </w:rPr>
      </w:pPr>
      <w:r>
        <w:rPr>
          <w:rFonts w:hint="eastAsia" w:ascii="黑体" w:hAnsi="黑体" w:eastAsia="黑体"/>
          <w:b/>
          <w:sz w:val="24"/>
          <w:szCs w:val="24"/>
        </w:rPr>
        <w:t>11、</w:t>
      </w:r>
      <w:r>
        <w:rPr>
          <w:rFonts w:hint="eastAsia" w:ascii="黑体" w:hAnsi="黑体" w:eastAsia="黑体"/>
          <w:b/>
          <w:color w:val="FF0000"/>
          <w:sz w:val="24"/>
          <w:szCs w:val="24"/>
        </w:rPr>
        <w:t>重</w:t>
      </w:r>
      <w:r>
        <w:rPr>
          <w:rFonts w:hint="eastAsia" w:ascii="仿宋" w:hAnsi="仿宋" w:eastAsia="仿宋"/>
          <w:b/>
          <w:color w:val="FF0000"/>
          <w:sz w:val="24"/>
          <w:szCs w:val="24"/>
        </w:rPr>
        <w:t>大风险确定原则</w:t>
      </w:r>
      <w:r>
        <w:rPr>
          <w:rFonts w:hint="eastAsia" w:ascii="黑体" w:hAnsi="黑体" w:eastAsia="黑体"/>
          <w:sz w:val="24"/>
          <w:szCs w:val="24"/>
        </w:rPr>
        <w:t>（依据化工企业安全生产风险分级管控体系细则）</w:t>
      </w:r>
    </w:p>
    <w:tbl>
      <w:tblPr>
        <w:tblStyle w:val="6"/>
        <w:tblW w:w="100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5"/>
        <w:gridCol w:w="8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0031" w:type="dxa"/>
            <w:gridSpan w:val="2"/>
            <w:shd w:val="clear" w:color="auto" w:fill="auto"/>
          </w:tcPr>
          <w:p>
            <w:pPr>
              <w:rPr>
                <w:rFonts w:ascii="仿宋" w:hAnsi="仿宋" w:eastAsia="仿宋"/>
                <w:b/>
                <w:sz w:val="24"/>
                <w:szCs w:val="24"/>
              </w:rPr>
            </w:pPr>
            <w:r>
              <w:rPr>
                <w:rFonts w:hint="eastAsia" w:ascii="仿宋" w:hAnsi="仿宋" w:eastAsia="仿宋"/>
                <w:b/>
                <w:sz w:val="24"/>
                <w:szCs w:val="24"/>
              </w:rPr>
              <w:t>属于以下情况之一的，直接判定为重大风险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95" w:type="dxa"/>
            <w:shd w:val="clear" w:color="auto" w:fill="auto"/>
          </w:tcPr>
          <w:p>
            <w:pPr>
              <w:rPr>
                <w:rFonts w:ascii="仿宋" w:hAnsi="仿宋" w:eastAsia="仿宋"/>
                <w:b/>
                <w:sz w:val="24"/>
                <w:szCs w:val="24"/>
              </w:rPr>
            </w:pPr>
            <w:r>
              <w:rPr>
                <w:rFonts w:hint="eastAsia" w:ascii="仿宋" w:hAnsi="仿宋" w:eastAsia="仿宋"/>
                <w:b/>
                <w:sz w:val="24"/>
                <w:szCs w:val="24"/>
              </w:rPr>
              <w:t>定量判定</w:t>
            </w:r>
          </w:p>
        </w:tc>
        <w:tc>
          <w:tcPr>
            <w:tcW w:w="8436" w:type="dxa"/>
            <w:shd w:val="clear" w:color="auto" w:fill="auto"/>
          </w:tcPr>
          <w:p>
            <w:pPr>
              <w:rPr>
                <w:rFonts w:ascii="仿宋" w:hAnsi="仿宋" w:eastAsia="仿宋"/>
                <w:b/>
                <w:sz w:val="24"/>
                <w:szCs w:val="24"/>
              </w:rPr>
            </w:pPr>
            <w:r>
              <w:rPr>
                <w:rFonts w:hint="eastAsia" w:ascii="仿宋" w:hAnsi="仿宋" w:eastAsia="仿宋"/>
                <w:b/>
                <w:sz w:val="24"/>
                <w:szCs w:val="24"/>
              </w:rPr>
              <w:t>R=LS</w:t>
            </w:r>
            <w:r>
              <w:rPr>
                <w:rFonts w:ascii="仿宋" w:hAnsi="仿宋" w:eastAsia="仿宋"/>
                <w:b/>
                <w:sz w:val="24"/>
                <w:szCs w:val="24"/>
              </w:rPr>
              <w:t xml:space="preserve"> </w:t>
            </w:r>
            <w:r>
              <w:rPr>
                <w:rFonts w:hint="eastAsia" w:ascii="仿宋" w:hAnsi="仿宋" w:eastAsia="仿宋"/>
                <w:b/>
                <w:sz w:val="24"/>
                <w:szCs w:val="24"/>
              </w:rPr>
              <w:t>通过计算R值</w:t>
            </w:r>
            <w:r>
              <w:rPr>
                <w:rFonts w:ascii="仿宋" w:hAnsi="仿宋" w:eastAsia="仿宋"/>
                <w:b/>
                <w:sz w:val="24"/>
                <w:szCs w:val="24"/>
              </w:rPr>
              <w:t>判定</w:t>
            </w:r>
            <w:r>
              <w:rPr>
                <w:rFonts w:hint="eastAsia" w:ascii="仿宋" w:hAnsi="仿宋" w:eastAsia="仿宋"/>
                <w:b/>
                <w:sz w:val="24"/>
                <w:szCs w:val="24"/>
              </w:rPr>
              <w:t>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95" w:type="dxa"/>
            <w:shd w:val="clear" w:color="auto" w:fill="auto"/>
          </w:tcPr>
          <w:p>
            <w:pPr>
              <w:rPr>
                <w:rFonts w:ascii="仿宋" w:hAnsi="仿宋" w:eastAsia="仿宋"/>
                <w:b/>
                <w:sz w:val="24"/>
                <w:szCs w:val="24"/>
              </w:rPr>
            </w:pPr>
            <w:r>
              <w:rPr>
                <w:rFonts w:hint="eastAsia" w:ascii="仿宋" w:hAnsi="仿宋" w:eastAsia="仿宋"/>
                <w:b/>
                <w:sz w:val="24"/>
                <w:szCs w:val="24"/>
              </w:rPr>
              <w:t>定性判定</w:t>
            </w:r>
          </w:p>
        </w:tc>
        <w:tc>
          <w:tcPr>
            <w:tcW w:w="8436" w:type="dxa"/>
            <w:shd w:val="clear" w:color="auto" w:fill="auto"/>
          </w:tcPr>
          <w:p>
            <w:pPr>
              <w:rPr>
                <w:rFonts w:ascii="仿宋" w:hAnsi="仿宋" w:eastAsia="仿宋"/>
                <w:b/>
                <w:sz w:val="24"/>
                <w:szCs w:val="24"/>
              </w:rPr>
            </w:pPr>
            <w:r>
              <w:rPr>
                <w:rFonts w:hint="eastAsia" w:ascii="仿宋" w:hAnsi="仿宋" w:eastAsia="仿宋"/>
                <w:b/>
                <w:sz w:val="24"/>
                <w:szCs w:val="24"/>
              </w:rPr>
              <w:t>违反法律、法规及国家标准中强制性条款的；</w:t>
            </w:r>
          </w:p>
          <w:p>
            <w:pPr>
              <w:rPr>
                <w:rFonts w:ascii="仿宋" w:hAnsi="仿宋" w:eastAsia="仿宋"/>
                <w:b/>
                <w:sz w:val="24"/>
                <w:szCs w:val="24"/>
              </w:rPr>
            </w:pPr>
            <w:r>
              <w:rPr>
                <w:rFonts w:hint="eastAsia" w:ascii="仿宋" w:hAnsi="仿宋" w:eastAsia="仿宋"/>
                <w:b/>
                <w:sz w:val="24"/>
                <w:szCs w:val="24"/>
              </w:rPr>
              <w:t>发生过死亡、重伤、重大财产损失的事故，且现在发生事故的条件依然存在的；</w:t>
            </w:r>
          </w:p>
          <w:p>
            <w:pPr>
              <w:rPr>
                <w:rFonts w:ascii="仿宋" w:hAnsi="仿宋" w:eastAsia="仿宋"/>
                <w:b/>
                <w:sz w:val="24"/>
                <w:szCs w:val="24"/>
              </w:rPr>
            </w:pPr>
            <w:r>
              <w:rPr>
                <w:rFonts w:hint="eastAsia" w:ascii="仿宋" w:hAnsi="仿宋" w:eastAsia="仿宋"/>
                <w:b/>
                <w:sz w:val="24"/>
                <w:szCs w:val="24"/>
              </w:rPr>
              <w:t>根据GB 18218评估为重大危险源的储存场所；</w:t>
            </w:r>
          </w:p>
          <w:p>
            <w:pPr>
              <w:rPr>
                <w:rFonts w:ascii="仿宋" w:hAnsi="仿宋" w:eastAsia="仿宋"/>
                <w:b/>
                <w:sz w:val="24"/>
                <w:szCs w:val="24"/>
              </w:rPr>
            </w:pPr>
            <w:r>
              <w:rPr>
                <w:rFonts w:hint="eastAsia" w:ascii="仿宋" w:hAnsi="仿宋" w:eastAsia="仿宋"/>
                <w:b/>
                <w:sz w:val="24"/>
                <w:szCs w:val="24"/>
              </w:rPr>
              <w:t>运行装置界区内涉及抢修作业等作业现场10人及以上的</w:t>
            </w:r>
          </w:p>
        </w:tc>
      </w:tr>
    </w:tbl>
    <w:p>
      <w:pPr>
        <w:rPr>
          <w:rFonts w:ascii="黑体" w:hAnsi="黑体" w:eastAsia="黑体"/>
          <w:b/>
          <w:sz w:val="24"/>
          <w:szCs w:val="24"/>
        </w:rPr>
      </w:pPr>
      <w:r>
        <w:rPr>
          <w:rFonts w:hint="eastAsia" w:ascii="黑体" w:hAnsi="黑体" w:eastAsia="黑体"/>
          <w:b/>
          <w:sz w:val="24"/>
          <w:szCs w:val="24"/>
        </w:rPr>
        <w:t>12、</w:t>
      </w:r>
      <w:r>
        <w:rPr>
          <w:rFonts w:hint="eastAsia" w:ascii="黑体" w:hAnsi="黑体" w:eastAsia="黑体"/>
          <w:b/>
          <w:color w:val="FF0000"/>
          <w:sz w:val="24"/>
          <w:szCs w:val="24"/>
        </w:rPr>
        <w:t>如何进行风险分级防控？</w:t>
      </w:r>
      <w:r>
        <w:rPr>
          <w:rFonts w:ascii="黑体" w:hAnsi="黑体" w:eastAsia="黑体"/>
          <w:b/>
          <w:sz w:val="24"/>
          <w:szCs w:val="24"/>
        </w:rPr>
        <w:t>本企业</w:t>
      </w:r>
      <w:r>
        <w:rPr>
          <w:rFonts w:hint="eastAsia" w:ascii="黑体" w:hAnsi="黑体" w:eastAsia="黑体"/>
          <w:b/>
          <w:sz w:val="24"/>
          <w:szCs w:val="24"/>
        </w:rPr>
        <w:t>/</w:t>
      </w:r>
      <w:r>
        <w:rPr>
          <w:rFonts w:hint="eastAsia" w:ascii="黑体" w:hAnsi="黑体" w:eastAsia="黑体"/>
          <w:b/>
          <w:color w:val="FF0000"/>
          <w:sz w:val="24"/>
          <w:szCs w:val="24"/>
        </w:rPr>
        <w:t>本岗位有无重大</w:t>
      </w:r>
      <w:r>
        <w:rPr>
          <w:rFonts w:ascii="黑体" w:hAnsi="黑体" w:eastAsia="黑体"/>
          <w:b/>
          <w:color w:val="FF0000"/>
          <w:sz w:val="24"/>
          <w:szCs w:val="24"/>
        </w:rPr>
        <w:t>风险，有什么</w:t>
      </w:r>
      <w:r>
        <w:rPr>
          <w:rFonts w:hint="eastAsia" w:ascii="黑体" w:hAnsi="黑体" w:eastAsia="黑体"/>
          <w:b/>
          <w:color w:val="FF0000"/>
          <w:sz w:val="24"/>
          <w:szCs w:val="24"/>
        </w:rPr>
        <w:t>防控措施？</w:t>
      </w:r>
    </w:p>
    <w:p>
      <w:pPr>
        <w:rPr>
          <w:rFonts w:ascii="黑体" w:hAnsi="黑体" w:eastAsia="黑体"/>
          <w:b/>
          <w:sz w:val="24"/>
          <w:szCs w:val="24"/>
        </w:rPr>
      </w:pPr>
      <w:r>
        <w:rPr>
          <w:rFonts w:hint="eastAsia" w:ascii="黑体" w:hAnsi="黑体" w:eastAsia="黑体"/>
          <w:b/>
          <w:sz w:val="24"/>
          <w:szCs w:val="24"/>
        </w:rPr>
        <w:t>=============================================================================</w:t>
      </w:r>
    </w:p>
    <w:p>
      <w:pPr>
        <w:rPr>
          <w:rFonts w:ascii="黑体" w:hAnsi="黑体" w:eastAsia="黑体"/>
          <w:b/>
          <w:sz w:val="24"/>
          <w:szCs w:val="24"/>
        </w:rPr>
      </w:pPr>
      <w:r>
        <w:rPr>
          <w:rFonts w:hint="eastAsia" w:ascii="黑体" w:hAnsi="黑体" w:eastAsia="黑体"/>
          <w:b/>
          <w:sz w:val="24"/>
          <w:szCs w:val="24"/>
        </w:rPr>
        <w:t>1.事故隐患：</w:t>
      </w:r>
      <w:r>
        <w:rPr>
          <w:rFonts w:ascii="黑体" w:hAnsi="黑体" w:eastAsia="黑体"/>
          <w:b/>
          <w:sz w:val="24"/>
          <w:szCs w:val="24"/>
        </w:rPr>
        <w:t>企业违反安全生产、职业卫生法律、法规、规章、标准、规程和管理制度的规定，或者因其他因素 在生产经营活动中存在可能导致事故发生或导致事故后果扩大的物的危险状态、人的不安全行为和管理 上的缺陷。</w:t>
      </w:r>
    </w:p>
    <w:p>
      <w:pPr>
        <w:rPr>
          <w:rFonts w:ascii="黑体" w:hAnsi="黑体" w:eastAsia="黑体"/>
          <w:b/>
          <w:sz w:val="24"/>
          <w:szCs w:val="24"/>
        </w:rPr>
      </w:pPr>
      <w:r>
        <w:rPr>
          <w:rFonts w:hint="eastAsia" w:ascii="黑体" w:hAnsi="黑体" w:eastAsia="黑体"/>
          <w:b/>
          <w:sz w:val="24"/>
          <w:szCs w:val="24"/>
        </w:rPr>
        <w:t>2.隐患排查：</w:t>
      </w:r>
      <w:r>
        <w:rPr>
          <w:rFonts w:ascii="黑体" w:hAnsi="黑体" w:eastAsia="黑体"/>
          <w:b/>
          <w:sz w:val="24"/>
          <w:szCs w:val="24"/>
        </w:rPr>
        <w:t>企业组织安全生产管理人员、工程技术人员、岗位员工以及其他相关人员依据国家法律法规、标准 和企业管理制度，采取一定的方式和方法，对照风险分级管控措施的有效落实情况，对本单位的事故隐 患进行排查的工作过程。</w:t>
      </w:r>
    </w:p>
    <w:p>
      <w:pPr>
        <w:ind w:firstLine="240" w:firstLineChars="100"/>
        <w:rPr>
          <w:rFonts w:ascii="黑体" w:hAnsi="黑体" w:eastAsia="黑体"/>
          <w:sz w:val="24"/>
          <w:szCs w:val="24"/>
        </w:rPr>
      </w:pPr>
      <w:r>
        <w:rPr>
          <w:rFonts w:hint="eastAsia" w:ascii="黑体" w:hAnsi="黑体" w:eastAsia="黑体"/>
          <w:color w:val="FF0000"/>
          <w:sz w:val="24"/>
          <w:szCs w:val="24"/>
        </w:rPr>
        <w:t>隐患排查类型：</w:t>
      </w:r>
      <w:r>
        <w:rPr>
          <w:rFonts w:hint="eastAsia" w:ascii="黑体" w:hAnsi="黑体" w:eastAsia="黑体"/>
          <w:sz w:val="24"/>
          <w:szCs w:val="24"/>
        </w:rPr>
        <w:t>日常隐患排查、综合性隐患排查、专业性隐患排查、专项或季节性隐患排查、专家诊断性检查和企业各级负责人履职检查等。</w:t>
      </w:r>
    </w:p>
    <w:p>
      <w:pPr>
        <w:ind w:firstLine="240" w:firstLineChars="100"/>
        <w:rPr>
          <w:rFonts w:ascii="黑体" w:hAnsi="黑体" w:eastAsia="黑体"/>
          <w:sz w:val="24"/>
          <w:szCs w:val="24"/>
        </w:rPr>
      </w:pPr>
      <w:r>
        <w:rPr>
          <w:rFonts w:hint="eastAsia" w:ascii="黑体" w:hAnsi="黑体" w:eastAsia="黑体"/>
          <w:color w:val="FF0000"/>
          <w:sz w:val="24"/>
          <w:szCs w:val="24"/>
        </w:rPr>
        <w:t>隐患排查组织级别：</w:t>
      </w:r>
      <w:r>
        <w:rPr>
          <w:rFonts w:hint="eastAsia" w:ascii="黑体" w:hAnsi="黑体" w:eastAsia="黑体"/>
          <w:sz w:val="24"/>
          <w:szCs w:val="24"/>
        </w:rPr>
        <w:t xml:space="preserve">企业应根据自身组织架构确定不同的排查组织级别和频次。排查组织级别一般包括公司级、部门级、车间级、班组级。 </w:t>
      </w:r>
    </w:p>
    <w:p>
      <w:pPr>
        <w:ind w:firstLine="360" w:firstLineChars="150"/>
        <w:rPr>
          <w:rFonts w:ascii="黑体" w:hAnsi="黑体" w:eastAsia="黑体"/>
          <w:sz w:val="24"/>
          <w:szCs w:val="24"/>
        </w:rPr>
      </w:pPr>
      <w:r>
        <w:rPr>
          <w:rFonts w:hint="eastAsia" w:ascii="黑体" w:hAnsi="黑体" w:eastAsia="黑体"/>
          <w:sz w:val="24"/>
          <w:szCs w:val="24"/>
        </w:rPr>
        <w:t xml:space="preserve">隐患排查周期：综合、专业、专项、季节、日常等隐患排查类型的周期。 </w:t>
      </w:r>
    </w:p>
    <w:p>
      <w:pPr>
        <w:rPr>
          <w:rFonts w:ascii="黑体" w:hAnsi="黑体" w:eastAsia="黑体"/>
          <w:b/>
          <w:sz w:val="24"/>
          <w:szCs w:val="24"/>
        </w:rPr>
      </w:pPr>
      <w:r>
        <w:rPr>
          <w:rFonts w:hint="eastAsia" w:ascii="黑体" w:hAnsi="黑体" w:eastAsia="黑体"/>
          <w:b/>
          <w:sz w:val="24"/>
          <w:szCs w:val="24"/>
        </w:rPr>
        <w:t>3.隐患治理：</w:t>
      </w:r>
      <w:r>
        <w:rPr>
          <w:rFonts w:ascii="黑体" w:hAnsi="黑体" w:eastAsia="黑体"/>
          <w:b/>
          <w:sz w:val="24"/>
          <w:szCs w:val="24"/>
        </w:rPr>
        <w:t>消除或控制隐患的活动或过程。</w:t>
      </w:r>
    </w:p>
    <w:p>
      <w:pPr>
        <w:ind w:firstLine="360" w:firstLineChars="150"/>
        <w:rPr>
          <w:rFonts w:ascii="黑体" w:hAnsi="黑体" w:eastAsia="黑体"/>
          <w:b/>
          <w:sz w:val="24"/>
          <w:szCs w:val="24"/>
        </w:rPr>
      </w:pPr>
      <w:r>
        <w:rPr>
          <w:rFonts w:hint="eastAsia" w:ascii="黑体" w:hAnsi="黑体" w:eastAsia="黑体"/>
          <w:sz w:val="24"/>
          <w:szCs w:val="24"/>
        </w:rPr>
        <w:t>分级治理</w:t>
      </w:r>
      <w:r>
        <w:rPr>
          <w:rFonts w:ascii="黑体" w:hAnsi="黑体" w:eastAsia="黑体"/>
          <w:sz w:val="24"/>
          <w:szCs w:val="24"/>
        </w:rPr>
        <w:t>，</w:t>
      </w:r>
      <w:r>
        <w:rPr>
          <w:rFonts w:hint="eastAsia" w:ascii="黑体" w:hAnsi="黑体" w:eastAsia="黑体"/>
          <w:sz w:val="24"/>
          <w:szCs w:val="24"/>
        </w:rPr>
        <w:t>主要包括岗位纠正、班组治理、车间治理、部门治理、公司治理等</w:t>
      </w:r>
      <w:r>
        <w:rPr>
          <w:rFonts w:hint="eastAsia" w:ascii="黑体" w:hAnsi="黑体" w:eastAsia="黑体"/>
          <w:b/>
          <w:sz w:val="24"/>
          <w:szCs w:val="24"/>
        </w:rPr>
        <w:t>。</w:t>
      </w:r>
    </w:p>
    <w:p>
      <w:pPr>
        <w:rPr>
          <w:rFonts w:ascii="黑体" w:hAnsi="黑体" w:eastAsia="黑体"/>
          <w:b/>
          <w:sz w:val="24"/>
          <w:szCs w:val="24"/>
        </w:rPr>
      </w:pPr>
      <w:r>
        <w:rPr>
          <w:rFonts w:hint="eastAsia" w:ascii="黑体" w:hAnsi="黑体" w:eastAsia="黑体"/>
          <w:b/>
          <w:sz w:val="24"/>
          <w:szCs w:val="24"/>
        </w:rPr>
        <w:t>4.隐患信息：</w:t>
      </w:r>
      <w:r>
        <w:rPr>
          <w:rFonts w:ascii="黑体" w:hAnsi="黑体" w:eastAsia="黑体"/>
          <w:b/>
          <w:sz w:val="24"/>
          <w:szCs w:val="24"/>
        </w:rPr>
        <w:t>包括隐患名称、位置、状态描述、可能导致后果及其严重程度、治理目标、治理措施、职责划分、治理期限等信息的总称。</w:t>
      </w:r>
    </w:p>
    <w:p>
      <w:pPr>
        <w:rPr>
          <w:rFonts w:ascii="黑体" w:hAnsi="黑体" w:eastAsia="黑体"/>
          <w:b/>
          <w:sz w:val="24"/>
          <w:szCs w:val="24"/>
        </w:rPr>
      </w:pPr>
      <w:r>
        <w:rPr>
          <w:rFonts w:hint="eastAsia" w:ascii="黑体" w:hAnsi="黑体" w:eastAsia="黑体"/>
          <w:b/>
          <w:sz w:val="24"/>
          <w:szCs w:val="24"/>
        </w:rPr>
        <w:t>5.</w:t>
      </w:r>
      <w:r>
        <w:rPr>
          <w:rFonts w:hint="eastAsia" w:ascii="黑体" w:hAnsi="黑体" w:eastAsia="黑体"/>
          <w:b/>
          <w:color w:val="FF0000"/>
          <w:sz w:val="24"/>
          <w:szCs w:val="24"/>
        </w:rPr>
        <w:t>隐患分级（2级）：</w:t>
      </w:r>
    </w:p>
    <w:p>
      <w:pPr>
        <w:rPr>
          <w:rFonts w:ascii="黑体" w:hAnsi="黑体" w:eastAsia="黑体"/>
          <w:sz w:val="24"/>
          <w:szCs w:val="24"/>
        </w:rPr>
      </w:pPr>
      <w:r>
        <w:rPr>
          <w:rFonts w:hint="eastAsia" w:ascii="黑体" w:hAnsi="黑体" w:eastAsia="黑体"/>
          <w:sz w:val="24"/>
          <w:szCs w:val="24"/>
        </w:rPr>
        <w:t>一般隐患：危害和整改难度较小，发现后能够立即整改排除的隐患。</w:t>
      </w:r>
    </w:p>
    <w:p>
      <w:pPr>
        <w:rPr>
          <w:rFonts w:ascii="黑体" w:hAnsi="黑体" w:eastAsia="黑体"/>
          <w:sz w:val="24"/>
          <w:szCs w:val="24"/>
        </w:rPr>
      </w:pPr>
      <w:r>
        <w:rPr>
          <w:rFonts w:hint="eastAsia" w:ascii="黑体" w:hAnsi="黑体" w:eastAsia="黑体"/>
          <w:sz w:val="24"/>
          <w:szCs w:val="24"/>
        </w:rPr>
        <w:t>重大隐患：危害和整改难度较大，无法立即整改排除，需要全部或者局部停产停业，并经过一定时间整改治理</w:t>
      </w:r>
      <w:r>
        <w:rPr>
          <w:rFonts w:ascii="黑体" w:hAnsi="黑体" w:eastAsia="黑体"/>
          <w:sz w:val="24"/>
          <w:szCs w:val="24"/>
        </w:rPr>
        <w:t>方能排除的隐患，或者因外部因素影响致使生产经营单位自身难以排除的隐患</w:t>
      </w:r>
      <w:r>
        <w:rPr>
          <w:rFonts w:hint="eastAsia" w:ascii="黑体" w:hAnsi="黑体" w:eastAsia="黑体"/>
          <w:sz w:val="24"/>
          <w:szCs w:val="24"/>
        </w:rPr>
        <w:t>。</w:t>
      </w:r>
    </w:p>
    <w:p>
      <w:pPr>
        <w:rPr>
          <w:rFonts w:ascii="黑体" w:hAnsi="黑体" w:eastAsia="黑体"/>
          <w:sz w:val="24"/>
          <w:szCs w:val="24"/>
        </w:rPr>
      </w:pPr>
      <w:r>
        <w:rPr>
          <w:rFonts w:hint="eastAsia" w:ascii="黑体" w:hAnsi="黑体" w:eastAsia="黑体"/>
          <w:b/>
          <w:color w:val="FF0000"/>
          <w:sz w:val="24"/>
          <w:szCs w:val="24"/>
        </w:rPr>
        <w:t>隐患分类（2类）：</w:t>
      </w:r>
      <w:r>
        <w:rPr>
          <w:rFonts w:hint="eastAsia" w:ascii="黑体" w:hAnsi="黑体" w:eastAsia="黑体"/>
          <w:sz w:val="24"/>
          <w:szCs w:val="24"/>
        </w:rPr>
        <w:t>基础管理类隐患、生产现场类隐患。</w:t>
      </w:r>
    </w:p>
    <w:p>
      <w:pPr>
        <w:rPr>
          <w:rFonts w:ascii="黑体" w:hAnsi="黑体" w:eastAsia="黑体"/>
          <w:b/>
          <w:sz w:val="24"/>
          <w:szCs w:val="24"/>
        </w:rPr>
      </w:pPr>
      <w:r>
        <w:rPr>
          <w:rFonts w:hint="eastAsia" w:ascii="黑体" w:hAnsi="黑体" w:eastAsia="黑体"/>
          <w:b/>
          <w:sz w:val="24"/>
          <w:szCs w:val="24"/>
        </w:rPr>
        <w:t>6. 如何进行隐患排查治理？事故隐患治理流程包括：通报隐患信息、下发隐患整改通知、实施隐患治理、治理情况反馈、验收</w:t>
      </w:r>
      <w:r>
        <w:rPr>
          <w:rFonts w:ascii="黑体" w:hAnsi="黑体" w:eastAsia="黑体"/>
          <w:b/>
          <w:sz w:val="24"/>
          <w:szCs w:val="24"/>
        </w:rPr>
        <w:t>等环节。</w:t>
      </w:r>
    </w:p>
    <w:p>
      <w:pPr>
        <w:rPr>
          <w:rFonts w:ascii="黑体" w:hAnsi="黑体" w:eastAsia="黑体"/>
          <w:b/>
          <w:sz w:val="24"/>
          <w:szCs w:val="24"/>
        </w:rPr>
      </w:pPr>
      <w:r>
        <w:rPr>
          <w:rFonts w:hint="eastAsia" w:ascii="黑体" w:hAnsi="黑体" w:eastAsia="黑体"/>
          <w:b/>
          <w:sz w:val="24"/>
          <w:szCs w:val="24"/>
        </w:rPr>
        <w:t>7、依据《</w:t>
      </w:r>
      <w:r>
        <w:rPr>
          <w:rFonts w:ascii="黑体" w:hAnsi="黑体" w:eastAsia="黑体"/>
          <w:b/>
          <w:sz w:val="24"/>
          <w:szCs w:val="24"/>
        </w:rPr>
        <w:t>生产安全事故隐患排查治理体系通则</w:t>
      </w:r>
      <w:r>
        <w:rPr>
          <w:rFonts w:hint="eastAsia" w:ascii="黑体" w:hAnsi="黑体" w:eastAsia="黑体"/>
          <w:b/>
          <w:sz w:val="24"/>
          <w:szCs w:val="24"/>
        </w:rPr>
        <w:t>》直接判定的重大隐患：</w:t>
      </w:r>
      <w:r>
        <w:rPr>
          <w:rFonts w:ascii="黑体" w:hAnsi="黑体" w:eastAsia="黑体"/>
          <w:b/>
          <w:sz w:val="24"/>
          <w:szCs w:val="24"/>
        </w:rPr>
        <w:t xml:space="preserve"> </w:t>
      </w:r>
    </w:p>
    <w:p>
      <w:pPr>
        <w:rPr>
          <w:rFonts w:ascii="黑体" w:hAnsi="黑体" w:eastAsia="黑体"/>
          <w:sz w:val="22"/>
          <w:szCs w:val="24"/>
        </w:rPr>
      </w:pPr>
      <w:r>
        <w:rPr>
          <w:rFonts w:hint="eastAsia" w:ascii="黑体" w:hAnsi="黑体" w:eastAsia="黑体"/>
          <w:sz w:val="22"/>
          <w:szCs w:val="24"/>
        </w:rPr>
        <w:t>以下情形为重大事故隐患：</w:t>
      </w:r>
    </w:p>
    <w:p>
      <w:pPr>
        <w:rPr>
          <w:rFonts w:ascii="黑体" w:hAnsi="黑体" w:eastAsia="黑体"/>
          <w:sz w:val="22"/>
          <w:szCs w:val="24"/>
        </w:rPr>
      </w:pPr>
      <w:r>
        <w:rPr>
          <w:rFonts w:hint="eastAsia" w:ascii="黑体" w:hAnsi="黑体" w:eastAsia="黑体"/>
          <w:sz w:val="22"/>
          <w:szCs w:val="24"/>
        </w:rPr>
        <w:t>——违反法律、法规有关规定，整改时间长或可能造成较严重危害的；</w:t>
      </w:r>
    </w:p>
    <w:p>
      <w:pPr>
        <w:rPr>
          <w:rFonts w:ascii="黑体" w:hAnsi="黑体" w:eastAsia="黑体"/>
          <w:sz w:val="22"/>
          <w:szCs w:val="24"/>
        </w:rPr>
      </w:pPr>
      <w:r>
        <w:rPr>
          <w:rFonts w:hint="eastAsia" w:ascii="黑体" w:hAnsi="黑体" w:eastAsia="黑体"/>
          <w:sz w:val="22"/>
          <w:szCs w:val="24"/>
        </w:rPr>
        <w:t>——涉及重大危险源的；</w:t>
      </w:r>
    </w:p>
    <w:p>
      <w:pPr>
        <w:rPr>
          <w:rFonts w:ascii="黑体" w:hAnsi="黑体" w:eastAsia="黑体"/>
          <w:sz w:val="22"/>
          <w:szCs w:val="24"/>
        </w:rPr>
      </w:pPr>
      <w:r>
        <w:rPr>
          <w:rFonts w:hint="eastAsia" w:ascii="黑体" w:hAnsi="黑体" w:eastAsia="黑体"/>
          <w:sz w:val="22"/>
          <w:szCs w:val="24"/>
        </w:rPr>
        <w:t>——具有中毒、爆炸、火灾等危险的场所，作业人员在 10人以上的；</w:t>
      </w:r>
    </w:p>
    <w:p>
      <w:pPr>
        <w:rPr>
          <w:rFonts w:ascii="黑体" w:hAnsi="黑体" w:eastAsia="黑体"/>
          <w:sz w:val="22"/>
          <w:szCs w:val="24"/>
        </w:rPr>
      </w:pPr>
      <w:r>
        <w:rPr>
          <w:rFonts w:hint="eastAsia" w:ascii="黑体" w:hAnsi="黑体" w:eastAsia="黑体"/>
          <w:sz w:val="22"/>
          <w:szCs w:val="24"/>
        </w:rPr>
        <w:t>——危害程度和整改难度较大，一定时间得不到整改的；</w:t>
      </w:r>
    </w:p>
    <w:p>
      <w:pPr>
        <w:rPr>
          <w:rFonts w:ascii="黑体" w:hAnsi="黑体" w:eastAsia="黑体"/>
          <w:sz w:val="22"/>
          <w:szCs w:val="24"/>
        </w:rPr>
      </w:pPr>
      <w:r>
        <w:rPr>
          <w:rFonts w:hint="eastAsia" w:ascii="黑体" w:hAnsi="黑体" w:eastAsia="黑体"/>
          <w:sz w:val="22"/>
          <w:szCs w:val="24"/>
        </w:rPr>
        <w:t>——因外部因素影响致使生产经营单位自身难以排除的；</w:t>
      </w:r>
    </w:p>
    <w:p>
      <w:pPr>
        <w:rPr>
          <w:rFonts w:ascii="黑体" w:hAnsi="黑体" w:eastAsia="黑体"/>
          <w:sz w:val="22"/>
          <w:szCs w:val="24"/>
        </w:rPr>
      </w:pPr>
      <w:r>
        <w:rPr>
          <w:rFonts w:hint="eastAsia" w:ascii="黑体" w:hAnsi="黑体" w:eastAsia="黑体"/>
          <w:sz w:val="22"/>
          <w:szCs w:val="24"/>
        </w:rPr>
        <w:t xml:space="preserve">——设区的市级以上负有安全监管职责部门认定的。 </w:t>
      </w:r>
    </w:p>
    <w:p>
      <w:pPr>
        <w:rPr>
          <w:rFonts w:ascii="黑体" w:hAnsi="黑体" w:eastAsia="黑体"/>
          <w:b/>
          <w:sz w:val="24"/>
          <w:szCs w:val="24"/>
        </w:rPr>
      </w:pPr>
      <w:r>
        <w:rPr>
          <w:rFonts w:hint="eastAsia" w:ascii="黑体" w:hAnsi="黑体" w:eastAsia="黑体"/>
          <w:b/>
          <w:sz w:val="24"/>
          <w:szCs w:val="24"/>
        </w:rPr>
        <w:t>9.</w:t>
      </w:r>
      <w:r>
        <w:rPr>
          <w:rFonts w:ascii="黑体" w:hAnsi="黑体" w:eastAsia="黑体"/>
          <w:b/>
          <w:sz w:val="24"/>
          <w:szCs w:val="24"/>
        </w:rPr>
        <w:t>本企业</w:t>
      </w:r>
      <w:r>
        <w:rPr>
          <w:rFonts w:hint="eastAsia" w:ascii="黑体" w:hAnsi="黑体" w:eastAsia="黑体"/>
          <w:b/>
          <w:sz w:val="24"/>
          <w:szCs w:val="24"/>
        </w:rPr>
        <w:t>/</w:t>
      </w:r>
      <w:r>
        <w:rPr>
          <w:rFonts w:hint="eastAsia" w:ascii="黑体" w:hAnsi="黑体" w:eastAsia="黑体"/>
          <w:b/>
          <w:color w:val="FF0000"/>
          <w:sz w:val="24"/>
          <w:szCs w:val="24"/>
        </w:rPr>
        <w:t>本岗位有无重大隐患</w:t>
      </w:r>
      <w:r>
        <w:rPr>
          <w:rFonts w:ascii="黑体" w:hAnsi="黑体" w:eastAsia="黑体"/>
          <w:b/>
          <w:color w:val="FF0000"/>
          <w:sz w:val="24"/>
          <w:szCs w:val="24"/>
        </w:rPr>
        <w:t>，有什么</w:t>
      </w:r>
      <w:r>
        <w:rPr>
          <w:rFonts w:hint="eastAsia" w:ascii="黑体" w:hAnsi="黑体" w:eastAsia="黑体"/>
          <w:b/>
          <w:color w:val="FF0000"/>
          <w:sz w:val="24"/>
          <w:szCs w:val="24"/>
        </w:rPr>
        <w:t>防控措施？</w:t>
      </w:r>
    </w:p>
    <w:p>
      <w:pPr>
        <w:rPr>
          <w:rFonts w:ascii="黑体" w:hAnsi="黑体" w:eastAsia="黑体"/>
          <w:b/>
          <w:color w:val="FF0000"/>
          <w:sz w:val="24"/>
          <w:szCs w:val="24"/>
        </w:rPr>
      </w:pPr>
      <w:r>
        <w:rPr>
          <w:rFonts w:hint="eastAsia" w:ascii="黑体" w:hAnsi="黑体" w:eastAsia="黑体"/>
          <w:b/>
          <w:color w:val="FF0000"/>
          <w:sz w:val="24"/>
          <w:szCs w:val="24"/>
        </w:rPr>
        <w:t>1</w:t>
      </w:r>
      <w:r>
        <w:rPr>
          <w:rFonts w:ascii="黑体" w:hAnsi="黑体" w:eastAsia="黑体"/>
          <w:b/>
          <w:color w:val="FF0000"/>
          <w:sz w:val="24"/>
          <w:szCs w:val="24"/>
        </w:rPr>
        <w:t>0</w:t>
      </w:r>
      <w:r>
        <w:rPr>
          <w:rFonts w:hint="eastAsia" w:ascii="黑体" w:hAnsi="黑体" w:eastAsia="黑体"/>
          <w:b/>
          <w:color w:val="FF0000"/>
          <w:sz w:val="24"/>
          <w:szCs w:val="24"/>
        </w:rPr>
        <w:t>、</w:t>
      </w:r>
      <w:r>
        <w:rPr>
          <w:rFonts w:ascii="黑体" w:hAnsi="黑体" w:eastAsia="黑体"/>
          <w:b/>
          <w:color w:val="FF0000"/>
          <w:sz w:val="24"/>
          <w:szCs w:val="24"/>
        </w:rPr>
        <w:t>本企业风险</w:t>
      </w:r>
      <w:r>
        <w:rPr>
          <w:rFonts w:hint="eastAsia" w:ascii="黑体" w:hAnsi="黑体" w:eastAsia="黑体"/>
          <w:b/>
          <w:color w:val="FF0000"/>
          <w:sz w:val="24"/>
          <w:szCs w:val="24"/>
        </w:rPr>
        <w:t>准则</w:t>
      </w:r>
      <w:r>
        <w:rPr>
          <w:rFonts w:ascii="黑体" w:hAnsi="黑体" w:eastAsia="黑体"/>
          <w:b/>
          <w:color w:val="FF0000"/>
          <w:sz w:val="24"/>
          <w:szCs w:val="24"/>
        </w:rPr>
        <w:t>？（</w:t>
      </w:r>
      <w:r>
        <w:rPr>
          <w:rFonts w:hint="eastAsia" w:ascii="黑体" w:hAnsi="黑体" w:eastAsia="黑体"/>
          <w:b/>
          <w:color w:val="FF0000"/>
          <w:sz w:val="24"/>
          <w:szCs w:val="24"/>
        </w:rPr>
        <w:t>最少</w:t>
      </w:r>
      <w:r>
        <w:rPr>
          <w:rFonts w:ascii="黑体" w:hAnsi="黑体" w:eastAsia="黑体"/>
          <w:b/>
          <w:color w:val="FF0000"/>
          <w:sz w:val="24"/>
          <w:szCs w:val="24"/>
        </w:rPr>
        <w:t>问</w:t>
      </w:r>
      <w:r>
        <w:rPr>
          <w:rFonts w:hint="eastAsia" w:ascii="黑体" w:hAnsi="黑体" w:eastAsia="黑体"/>
          <w:b/>
          <w:color w:val="FF0000"/>
          <w:sz w:val="24"/>
          <w:szCs w:val="24"/>
        </w:rPr>
        <w:t>安全</w:t>
      </w:r>
      <w:r>
        <w:rPr>
          <w:rFonts w:ascii="黑体" w:hAnsi="黑体" w:eastAsia="黑体"/>
          <w:b/>
          <w:color w:val="FF0000"/>
          <w:sz w:val="24"/>
          <w:szCs w:val="24"/>
        </w:rPr>
        <w:t>管理人员）</w:t>
      </w:r>
    </w:p>
    <w:p>
      <w:pPr>
        <w:rPr>
          <w:rFonts w:ascii="黑体" w:hAnsi="黑体" w:eastAsia="黑体"/>
          <w:b/>
          <w:sz w:val="24"/>
          <w:szCs w:val="24"/>
        </w:rPr>
      </w:pPr>
      <w:bookmarkStart w:id="19" w:name="_Toc475539123"/>
      <w:bookmarkStart w:id="20" w:name="_Toc479171742"/>
      <w:bookmarkStart w:id="21" w:name="_Toc479257283"/>
      <w:bookmarkStart w:id="22" w:name="_Toc475106656"/>
      <w:bookmarkStart w:id="23" w:name="_Toc483486516"/>
      <w:bookmarkStart w:id="24" w:name="_Toc483486606"/>
      <w:r>
        <w:rPr>
          <w:rFonts w:hint="eastAsia" w:ascii="黑体" w:hAnsi="黑体" w:eastAsia="黑体"/>
          <w:b/>
          <w:sz w:val="24"/>
          <w:szCs w:val="24"/>
        </w:rPr>
        <w:t>相关附件：</w:t>
      </w:r>
    </w:p>
    <w:bookmarkEnd w:id="19"/>
    <w:bookmarkEnd w:id="20"/>
    <w:bookmarkEnd w:id="21"/>
    <w:bookmarkEnd w:id="22"/>
    <w:bookmarkEnd w:id="23"/>
    <w:bookmarkEnd w:id="24"/>
    <w:p>
      <w:pPr>
        <w:rPr>
          <w:rFonts w:ascii="黑体" w:hAnsi="黑体" w:eastAsia="黑体"/>
          <w:b/>
          <w:sz w:val="24"/>
          <w:szCs w:val="24"/>
        </w:rPr>
      </w:pPr>
      <w:bookmarkStart w:id="25" w:name="_Toc479257323"/>
      <w:bookmarkStart w:id="26" w:name="_Toc479171778"/>
      <w:bookmarkStart w:id="27" w:name="_Toc479175365"/>
      <w:r>
        <w:rPr>
          <w:rFonts w:hint="eastAsia" w:ascii="黑体" w:hAnsi="黑体" w:eastAsia="黑体"/>
          <w:b/>
          <w:sz w:val="24"/>
          <w:szCs w:val="24"/>
        </w:rPr>
        <w:t>1、</w:t>
      </w:r>
      <w:r>
        <w:rPr>
          <w:rFonts w:hint="eastAsia" w:ascii="黑体" w:hAnsi="黑体" w:eastAsia="黑体"/>
          <w:b/>
          <w:color w:val="FF0000"/>
          <w:sz w:val="24"/>
          <w:szCs w:val="24"/>
        </w:rPr>
        <w:t>安全风险等级判定准则</w:t>
      </w:r>
      <w:r>
        <w:rPr>
          <w:rFonts w:hint="eastAsia" w:ascii="黑体" w:hAnsi="黑体" w:eastAsia="黑体"/>
          <w:b/>
          <w:sz w:val="24"/>
          <w:szCs w:val="24"/>
        </w:rPr>
        <w:t>（</w:t>
      </w:r>
      <w:r>
        <w:rPr>
          <w:rFonts w:ascii="黑体" w:hAnsi="黑体" w:eastAsia="黑体"/>
          <w:b/>
          <w:sz w:val="24"/>
          <w:szCs w:val="24"/>
        </w:rPr>
        <w:t>R</w:t>
      </w:r>
      <w:r>
        <w:rPr>
          <w:rFonts w:hint="eastAsia" w:ascii="黑体" w:hAnsi="黑体" w:eastAsia="黑体"/>
          <w:b/>
          <w:sz w:val="24"/>
          <w:szCs w:val="24"/>
        </w:rPr>
        <w:t>值）及控制措施</w:t>
      </w:r>
      <w:bookmarkEnd w:id="25"/>
      <w:bookmarkEnd w:id="26"/>
      <w:bookmarkEnd w:id="27"/>
    </w:p>
    <w:tbl>
      <w:tblPr>
        <w:tblStyle w:val="6"/>
        <w:tblW w:w="10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67"/>
        <w:gridCol w:w="809"/>
        <w:gridCol w:w="1034"/>
        <w:gridCol w:w="1275"/>
        <w:gridCol w:w="993"/>
        <w:gridCol w:w="1020"/>
        <w:gridCol w:w="2977"/>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23" w:hRule="atLeast"/>
          <w:jc w:val="center"/>
        </w:trPr>
        <w:tc>
          <w:tcPr>
            <w:tcW w:w="967" w:type="dxa"/>
            <w:shd w:val="clear" w:color="auto" w:fill="FFFFFF"/>
            <w:vAlign w:val="center"/>
          </w:tcPr>
          <w:p>
            <w:pPr>
              <w:rPr>
                <w:rFonts w:ascii="黑体" w:hAnsi="黑体" w:eastAsia="黑体"/>
                <w:b/>
                <w:sz w:val="18"/>
                <w:szCs w:val="24"/>
              </w:rPr>
            </w:pPr>
            <w:r>
              <w:rPr>
                <w:rFonts w:hint="eastAsia" w:ascii="黑体" w:hAnsi="黑体" w:eastAsia="黑体"/>
                <w:b/>
                <w:sz w:val="18"/>
                <w:szCs w:val="24"/>
              </w:rPr>
              <w:t>风险值</w:t>
            </w:r>
          </w:p>
        </w:tc>
        <w:tc>
          <w:tcPr>
            <w:tcW w:w="1843" w:type="dxa"/>
            <w:gridSpan w:val="2"/>
            <w:shd w:val="clear" w:color="auto" w:fill="FFFFFF"/>
            <w:vAlign w:val="center"/>
          </w:tcPr>
          <w:p>
            <w:pPr>
              <w:rPr>
                <w:rFonts w:ascii="黑体" w:hAnsi="黑体" w:eastAsia="黑体"/>
                <w:b/>
                <w:sz w:val="18"/>
                <w:szCs w:val="24"/>
              </w:rPr>
            </w:pPr>
            <w:r>
              <w:rPr>
                <w:rFonts w:hint="eastAsia" w:ascii="黑体" w:hAnsi="黑体" w:eastAsia="黑体"/>
                <w:b/>
                <w:sz w:val="18"/>
                <w:szCs w:val="24"/>
              </w:rPr>
              <w:t>风险等级</w:t>
            </w:r>
          </w:p>
        </w:tc>
        <w:tc>
          <w:tcPr>
            <w:tcW w:w="1275" w:type="dxa"/>
            <w:shd w:val="clear" w:color="auto" w:fill="FFFFFF"/>
            <w:vAlign w:val="center"/>
          </w:tcPr>
          <w:p>
            <w:pPr>
              <w:rPr>
                <w:rFonts w:ascii="黑体" w:hAnsi="黑体" w:eastAsia="黑体"/>
                <w:b/>
                <w:color w:val="FF0000"/>
                <w:sz w:val="18"/>
                <w:szCs w:val="24"/>
              </w:rPr>
            </w:pPr>
            <w:r>
              <w:rPr>
                <w:rFonts w:hint="eastAsia" w:ascii="黑体" w:hAnsi="黑体" w:eastAsia="黑体"/>
                <w:b/>
                <w:color w:val="FF0000"/>
                <w:sz w:val="18"/>
                <w:szCs w:val="24"/>
              </w:rPr>
              <w:t>管控级别</w:t>
            </w:r>
          </w:p>
        </w:tc>
        <w:tc>
          <w:tcPr>
            <w:tcW w:w="993" w:type="dxa"/>
            <w:shd w:val="clear" w:color="auto" w:fill="FFFFFF"/>
            <w:vAlign w:val="center"/>
          </w:tcPr>
          <w:p>
            <w:pPr>
              <w:rPr>
                <w:rFonts w:ascii="黑体" w:hAnsi="黑体" w:eastAsia="黑体"/>
                <w:b/>
                <w:color w:val="FF0000"/>
                <w:sz w:val="18"/>
                <w:szCs w:val="24"/>
              </w:rPr>
            </w:pPr>
            <w:r>
              <w:rPr>
                <w:rFonts w:hint="eastAsia" w:ascii="黑体" w:hAnsi="黑体" w:eastAsia="黑体"/>
                <w:b/>
                <w:color w:val="FF0000"/>
                <w:sz w:val="18"/>
                <w:szCs w:val="24"/>
              </w:rPr>
              <w:t>风险色度</w:t>
            </w:r>
          </w:p>
        </w:tc>
        <w:tc>
          <w:tcPr>
            <w:tcW w:w="1020" w:type="dxa"/>
            <w:shd w:val="clear" w:color="auto" w:fill="FFFFFF"/>
            <w:vAlign w:val="center"/>
          </w:tcPr>
          <w:p>
            <w:pPr>
              <w:rPr>
                <w:rFonts w:ascii="黑体" w:hAnsi="黑体" w:eastAsia="黑体"/>
                <w:b/>
                <w:color w:val="FF0000"/>
                <w:sz w:val="18"/>
                <w:szCs w:val="24"/>
              </w:rPr>
            </w:pPr>
            <w:r>
              <w:rPr>
                <w:rFonts w:hint="eastAsia" w:ascii="黑体" w:hAnsi="黑体" w:eastAsia="黑体"/>
                <w:b/>
                <w:color w:val="FF0000"/>
                <w:sz w:val="18"/>
                <w:szCs w:val="24"/>
              </w:rPr>
              <w:t>华公司管控级别</w:t>
            </w:r>
          </w:p>
        </w:tc>
        <w:tc>
          <w:tcPr>
            <w:tcW w:w="2977" w:type="dxa"/>
            <w:shd w:val="clear" w:color="auto" w:fill="FFFFFF"/>
            <w:vAlign w:val="center"/>
          </w:tcPr>
          <w:p>
            <w:pPr>
              <w:rPr>
                <w:rFonts w:ascii="黑体" w:hAnsi="黑体" w:eastAsia="黑体"/>
                <w:b/>
                <w:sz w:val="18"/>
                <w:szCs w:val="24"/>
              </w:rPr>
            </w:pPr>
            <w:r>
              <w:rPr>
                <w:rFonts w:hint="eastAsia" w:ascii="黑体" w:hAnsi="黑体" w:eastAsia="黑体"/>
                <w:b/>
                <w:sz w:val="18"/>
                <w:szCs w:val="24"/>
              </w:rPr>
              <w:t>应采取的行动</w:t>
            </w:r>
            <w:r>
              <w:rPr>
                <w:rFonts w:ascii="黑体" w:hAnsi="黑体" w:eastAsia="黑体"/>
                <w:b/>
                <w:sz w:val="18"/>
                <w:szCs w:val="24"/>
              </w:rPr>
              <w:t>/</w:t>
            </w:r>
            <w:r>
              <w:rPr>
                <w:rFonts w:hint="eastAsia" w:ascii="黑体" w:hAnsi="黑体" w:eastAsia="黑体"/>
                <w:b/>
                <w:sz w:val="18"/>
                <w:szCs w:val="24"/>
              </w:rPr>
              <w:t>控制措施</w:t>
            </w:r>
          </w:p>
        </w:tc>
        <w:tc>
          <w:tcPr>
            <w:tcW w:w="1531" w:type="dxa"/>
            <w:shd w:val="clear" w:color="auto" w:fill="FFFFFF"/>
            <w:vAlign w:val="center"/>
          </w:tcPr>
          <w:p>
            <w:pPr>
              <w:rPr>
                <w:rFonts w:ascii="黑体" w:hAnsi="黑体" w:eastAsia="黑体"/>
                <w:b/>
                <w:sz w:val="18"/>
                <w:szCs w:val="24"/>
              </w:rPr>
            </w:pPr>
            <w:r>
              <w:rPr>
                <w:rFonts w:hint="eastAsia" w:ascii="黑体" w:hAnsi="黑体" w:eastAsia="黑体"/>
                <w:b/>
                <w:sz w:val="18"/>
                <w:szCs w:val="24"/>
              </w:rPr>
              <w:t>实施期限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967" w:type="dxa"/>
            <w:shd w:val="clear" w:color="auto" w:fill="FFFFFF"/>
            <w:vAlign w:val="center"/>
          </w:tcPr>
          <w:p>
            <w:pPr>
              <w:rPr>
                <w:rFonts w:ascii="黑体" w:hAnsi="黑体" w:eastAsia="黑体"/>
                <w:b/>
                <w:sz w:val="18"/>
                <w:szCs w:val="24"/>
              </w:rPr>
            </w:pPr>
            <w:r>
              <w:rPr>
                <w:rFonts w:ascii="黑体" w:hAnsi="黑体" w:eastAsia="黑体"/>
                <w:b/>
                <w:sz w:val="18"/>
                <w:szCs w:val="24"/>
              </w:rPr>
              <w:t>20-25</w:t>
            </w:r>
          </w:p>
        </w:tc>
        <w:tc>
          <w:tcPr>
            <w:tcW w:w="809" w:type="dxa"/>
            <w:shd w:val="clear" w:color="auto" w:fill="FFFFFF"/>
            <w:vAlign w:val="center"/>
          </w:tcPr>
          <w:p>
            <w:pPr>
              <w:rPr>
                <w:rFonts w:ascii="黑体" w:hAnsi="黑体" w:eastAsia="黑体"/>
                <w:b/>
                <w:sz w:val="18"/>
                <w:szCs w:val="24"/>
              </w:rPr>
            </w:pPr>
            <w:r>
              <w:rPr>
                <w:rFonts w:hint="eastAsia" w:ascii="黑体" w:hAnsi="黑体" w:eastAsia="黑体"/>
                <w:b/>
                <w:sz w:val="18"/>
                <w:szCs w:val="24"/>
              </w:rPr>
              <w:t>A/</w:t>
            </w:r>
            <w:r>
              <w:rPr>
                <w:rFonts w:ascii="黑体" w:hAnsi="黑体" w:eastAsia="黑体"/>
                <w:b/>
                <w:sz w:val="18"/>
                <w:szCs w:val="24"/>
              </w:rPr>
              <w:t>1</w:t>
            </w:r>
            <w:r>
              <w:rPr>
                <w:rFonts w:hint="eastAsia" w:ascii="黑体" w:hAnsi="黑体" w:eastAsia="黑体"/>
                <w:b/>
                <w:sz w:val="18"/>
                <w:szCs w:val="24"/>
              </w:rPr>
              <w:t>级</w:t>
            </w:r>
          </w:p>
        </w:tc>
        <w:tc>
          <w:tcPr>
            <w:tcW w:w="1034" w:type="dxa"/>
            <w:shd w:val="clear" w:color="auto" w:fill="FFFFFF"/>
            <w:vAlign w:val="center"/>
          </w:tcPr>
          <w:p>
            <w:pPr>
              <w:rPr>
                <w:rFonts w:ascii="黑体" w:hAnsi="黑体" w:eastAsia="黑体"/>
                <w:b/>
                <w:sz w:val="18"/>
                <w:szCs w:val="24"/>
              </w:rPr>
            </w:pPr>
            <w:r>
              <w:rPr>
                <w:rFonts w:hint="eastAsia" w:ascii="黑体" w:hAnsi="黑体" w:eastAsia="黑体"/>
                <w:b/>
                <w:sz w:val="18"/>
                <w:szCs w:val="24"/>
              </w:rPr>
              <w:t>极其危险</w:t>
            </w:r>
          </w:p>
          <w:p>
            <w:pPr>
              <w:rPr>
                <w:rFonts w:ascii="黑体" w:hAnsi="黑体" w:eastAsia="黑体"/>
                <w:b/>
                <w:sz w:val="18"/>
                <w:szCs w:val="24"/>
              </w:rPr>
            </w:pPr>
            <w:r>
              <w:rPr>
                <w:rFonts w:hint="eastAsia" w:ascii="黑体" w:hAnsi="黑体" w:eastAsia="黑体"/>
                <w:b/>
                <w:sz w:val="18"/>
                <w:szCs w:val="24"/>
              </w:rPr>
              <w:t>（不可容许风险）</w:t>
            </w:r>
          </w:p>
        </w:tc>
        <w:tc>
          <w:tcPr>
            <w:tcW w:w="1275" w:type="dxa"/>
            <w:shd w:val="clear" w:color="auto" w:fill="FFFFFF"/>
            <w:vAlign w:val="center"/>
          </w:tcPr>
          <w:p>
            <w:pPr>
              <w:rPr>
                <w:rFonts w:ascii="黑体" w:hAnsi="黑体" w:eastAsia="黑体"/>
                <w:b/>
                <w:color w:val="FF0000"/>
                <w:sz w:val="18"/>
                <w:szCs w:val="24"/>
              </w:rPr>
            </w:pPr>
            <w:r>
              <w:rPr>
                <w:rFonts w:hint="eastAsia" w:ascii="黑体" w:hAnsi="黑体" w:eastAsia="黑体"/>
                <w:b/>
                <w:color w:val="FF0000"/>
                <w:sz w:val="18"/>
                <w:szCs w:val="24"/>
              </w:rPr>
              <w:t>重大风险</w:t>
            </w:r>
          </w:p>
        </w:tc>
        <w:tc>
          <w:tcPr>
            <w:tcW w:w="993" w:type="dxa"/>
            <w:shd w:val="clear" w:color="auto" w:fill="FFFFFF"/>
            <w:vAlign w:val="center"/>
          </w:tcPr>
          <w:p>
            <w:pPr>
              <w:rPr>
                <w:rFonts w:ascii="黑体" w:hAnsi="黑体" w:eastAsia="黑体"/>
                <w:b/>
                <w:color w:val="FF0000"/>
                <w:sz w:val="18"/>
                <w:szCs w:val="24"/>
              </w:rPr>
            </w:pPr>
            <w:r>
              <w:rPr>
                <w:rFonts w:hint="eastAsia" w:ascii="黑体" w:hAnsi="黑体" w:eastAsia="黑体"/>
                <w:b/>
                <w:color w:val="FF0000"/>
                <w:sz w:val="18"/>
                <w:szCs w:val="24"/>
              </w:rPr>
              <w:t>红</w:t>
            </w:r>
          </w:p>
        </w:tc>
        <w:tc>
          <w:tcPr>
            <w:tcW w:w="1020" w:type="dxa"/>
            <w:shd w:val="clear" w:color="auto" w:fill="FFFFFF"/>
            <w:vAlign w:val="center"/>
          </w:tcPr>
          <w:p>
            <w:pPr>
              <w:rPr>
                <w:rFonts w:ascii="黑体" w:hAnsi="黑体" w:eastAsia="黑体"/>
                <w:b/>
                <w:color w:val="FF0000"/>
                <w:sz w:val="18"/>
                <w:szCs w:val="24"/>
              </w:rPr>
            </w:pPr>
            <w:r>
              <w:rPr>
                <w:rFonts w:hint="eastAsia" w:ascii="黑体" w:hAnsi="黑体" w:eastAsia="黑体"/>
                <w:b/>
                <w:color w:val="FF0000"/>
                <w:sz w:val="18"/>
                <w:szCs w:val="24"/>
              </w:rPr>
              <w:t>公司级</w:t>
            </w:r>
          </w:p>
        </w:tc>
        <w:tc>
          <w:tcPr>
            <w:tcW w:w="2977" w:type="dxa"/>
            <w:shd w:val="clear" w:color="auto" w:fill="FFFFFF"/>
            <w:vAlign w:val="center"/>
          </w:tcPr>
          <w:p>
            <w:pPr>
              <w:rPr>
                <w:rFonts w:ascii="黑体" w:hAnsi="黑体" w:eastAsia="黑体"/>
                <w:b/>
                <w:sz w:val="18"/>
                <w:szCs w:val="24"/>
              </w:rPr>
            </w:pPr>
            <w:r>
              <w:rPr>
                <w:rFonts w:hint="eastAsia" w:ascii="黑体" w:hAnsi="黑体" w:eastAsia="黑体"/>
                <w:b/>
                <w:sz w:val="18"/>
                <w:szCs w:val="24"/>
              </w:rPr>
              <w:t>在采取措施降低危害前，不能继续作业，对改进措施进行评估</w:t>
            </w:r>
          </w:p>
        </w:tc>
        <w:tc>
          <w:tcPr>
            <w:tcW w:w="1531" w:type="dxa"/>
            <w:shd w:val="clear" w:color="auto" w:fill="FFFFFF"/>
            <w:vAlign w:val="center"/>
          </w:tcPr>
          <w:p>
            <w:pPr>
              <w:rPr>
                <w:rFonts w:ascii="黑体" w:hAnsi="黑体" w:eastAsia="黑体"/>
                <w:b/>
                <w:sz w:val="18"/>
                <w:szCs w:val="24"/>
              </w:rPr>
            </w:pPr>
            <w:r>
              <w:rPr>
                <w:rFonts w:hint="eastAsia" w:ascii="黑体" w:hAnsi="黑体" w:eastAsia="黑体"/>
                <w:b/>
                <w:sz w:val="18"/>
                <w:szCs w:val="24"/>
              </w:rPr>
              <w:t>立刻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967" w:type="dxa"/>
            <w:shd w:val="clear" w:color="auto" w:fill="FFFFFF"/>
            <w:vAlign w:val="center"/>
          </w:tcPr>
          <w:p>
            <w:pPr>
              <w:rPr>
                <w:rFonts w:ascii="黑体" w:hAnsi="黑体" w:eastAsia="黑体"/>
                <w:b/>
                <w:sz w:val="18"/>
                <w:szCs w:val="24"/>
              </w:rPr>
            </w:pPr>
            <w:r>
              <w:rPr>
                <w:rFonts w:ascii="黑体" w:hAnsi="黑体" w:eastAsia="黑体"/>
                <w:b/>
                <w:sz w:val="18"/>
                <w:szCs w:val="24"/>
              </w:rPr>
              <w:t>15-16</w:t>
            </w:r>
          </w:p>
        </w:tc>
        <w:tc>
          <w:tcPr>
            <w:tcW w:w="809" w:type="dxa"/>
            <w:shd w:val="clear" w:color="auto" w:fill="FFFFFF"/>
            <w:vAlign w:val="center"/>
          </w:tcPr>
          <w:p>
            <w:pPr>
              <w:rPr>
                <w:rFonts w:ascii="黑体" w:hAnsi="黑体" w:eastAsia="黑体"/>
                <w:b/>
                <w:sz w:val="18"/>
                <w:szCs w:val="24"/>
              </w:rPr>
            </w:pPr>
            <w:r>
              <w:rPr>
                <w:rFonts w:hint="eastAsia" w:ascii="黑体" w:hAnsi="黑体" w:eastAsia="黑体"/>
                <w:b/>
                <w:sz w:val="18"/>
                <w:szCs w:val="24"/>
              </w:rPr>
              <w:t>B/</w:t>
            </w:r>
            <w:r>
              <w:rPr>
                <w:rFonts w:ascii="黑体" w:hAnsi="黑体" w:eastAsia="黑体"/>
                <w:b/>
                <w:sz w:val="18"/>
                <w:szCs w:val="24"/>
              </w:rPr>
              <w:t>2</w:t>
            </w:r>
            <w:r>
              <w:rPr>
                <w:rFonts w:hint="eastAsia" w:ascii="黑体" w:hAnsi="黑体" w:eastAsia="黑体"/>
                <w:b/>
                <w:sz w:val="18"/>
                <w:szCs w:val="24"/>
              </w:rPr>
              <w:t>级</w:t>
            </w:r>
          </w:p>
        </w:tc>
        <w:tc>
          <w:tcPr>
            <w:tcW w:w="1034" w:type="dxa"/>
            <w:shd w:val="clear" w:color="auto" w:fill="FFFFFF"/>
            <w:vAlign w:val="center"/>
          </w:tcPr>
          <w:p>
            <w:pPr>
              <w:rPr>
                <w:rFonts w:ascii="黑体" w:hAnsi="黑体" w:eastAsia="黑体"/>
                <w:b/>
                <w:sz w:val="18"/>
                <w:szCs w:val="24"/>
              </w:rPr>
            </w:pPr>
            <w:r>
              <w:rPr>
                <w:rFonts w:hint="eastAsia" w:ascii="黑体" w:hAnsi="黑体" w:eastAsia="黑体"/>
                <w:b/>
                <w:sz w:val="18"/>
                <w:szCs w:val="24"/>
              </w:rPr>
              <w:t>高度危险</w:t>
            </w:r>
          </w:p>
        </w:tc>
        <w:tc>
          <w:tcPr>
            <w:tcW w:w="1275" w:type="dxa"/>
            <w:shd w:val="clear" w:color="auto" w:fill="FFFFFF"/>
            <w:vAlign w:val="center"/>
          </w:tcPr>
          <w:p>
            <w:pPr>
              <w:rPr>
                <w:rFonts w:ascii="黑体" w:hAnsi="黑体" w:eastAsia="黑体"/>
                <w:b/>
                <w:color w:val="FF0000"/>
                <w:sz w:val="18"/>
                <w:szCs w:val="24"/>
              </w:rPr>
            </w:pPr>
            <w:r>
              <w:rPr>
                <w:rFonts w:hint="eastAsia" w:ascii="黑体" w:hAnsi="黑体" w:eastAsia="黑体"/>
                <w:b/>
                <w:color w:val="FF0000"/>
                <w:sz w:val="18"/>
                <w:szCs w:val="24"/>
              </w:rPr>
              <w:t>较大风险</w:t>
            </w:r>
          </w:p>
        </w:tc>
        <w:tc>
          <w:tcPr>
            <w:tcW w:w="993" w:type="dxa"/>
            <w:shd w:val="clear" w:color="auto" w:fill="FFFFFF"/>
            <w:vAlign w:val="center"/>
          </w:tcPr>
          <w:p>
            <w:pPr>
              <w:rPr>
                <w:rFonts w:ascii="黑体" w:hAnsi="黑体" w:eastAsia="黑体"/>
                <w:b/>
                <w:color w:val="FF0000"/>
                <w:sz w:val="18"/>
                <w:szCs w:val="24"/>
              </w:rPr>
            </w:pPr>
            <w:r>
              <w:rPr>
                <w:rFonts w:hint="eastAsia" w:ascii="黑体" w:hAnsi="黑体" w:eastAsia="黑体"/>
                <w:b/>
                <w:color w:val="FF0000"/>
                <w:sz w:val="18"/>
                <w:szCs w:val="24"/>
              </w:rPr>
              <w:t>橙</w:t>
            </w:r>
          </w:p>
        </w:tc>
        <w:tc>
          <w:tcPr>
            <w:tcW w:w="1020" w:type="dxa"/>
            <w:shd w:val="clear" w:color="auto" w:fill="FFFFFF"/>
            <w:vAlign w:val="center"/>
          </w:tcPr>
          <w:p>
            <w:pPr>
              <w:rPr>
                <w:rFonts w:ascii="黑体" w:hAnsi="黑体" w:eastAsia="黑体"/>
                <w:b/>
                <w:color w:val="FF0000"/>
                <w:sz w:val="18"/>
                <w:szCs w:val="24"/>
              </w:rPr>
            </w:pPr>
            <w:r>
              <w:rPr>
                <w:rFonts w:hint="eastAsia" w:ascii="黑体" w:hAnsi="黑体" w:eastAsia="黑体"/>
                <w:b/>
                <w:color w:val="FF0000"/>
                <w:sz w:val="18"/>
                <w:szCs w:val="24"/>
              </w:rPr>
              <w:t>部门级</w:t>
            </w:r>
          </w:p>
        </w:tc>
        <w:tc>
          <w:tcPr>
            <w:tcW w:w="2977" w:type="dxa"/>
            <w:shd w:val="clear" w:color="auto" w:fill="FFFFFF"/>
            <w:vAlign w:val="center"/>
          </w:tcPr>
          <w:p>
            <w:pPr>
              <w:rPr>
                <w:rFonts w:ascii="黑体" w:hAnsi="黑体" w:eastAsia="黑体"/>
                <w:b/>
                <w:sz w:val="18"/>
                <w:szCs w:val="24"/>
              </w:rPr>
            </w:pPr>
            <w:r>
              <w:rPr>
                <w:rFonts w:hint="eastAsia" w:ascii="黑体" w:hAnsi="黑体" w:eastAsia="黑体"/>
                <w:b/>
                <w:sz w:val="18"/>
                <w:szCs w:val="24"/>
              </w:rPr>
              <w:t>采取紧急措施降低风险，建立运行控制程序，定期检查、测量及评估</w:t>
            </w:r>
          </w:p>
        </w:tc>
        <w:tc>
          <w:tcPr>
            <w:tcW w:w="1531" w:type="dxa"/>
            <w:shd w:val="clear" w:color="auto" w:fill="FFFFFF"/>
            <w:vAlign w:val="center"/>
          </w:tcPr>
          <w:p>
            <w:pPr>
              <w:rPr>
                <w:rFonts w:ascii="黑体" w:hAnsi="黑体" w:eastAsia="黑体"/>
                <w:b/>
                <w:sz w:val="18"/>
                <w:szCs w:val="24"/>
              </w:rPr>
            </w:pPr>
            <w:r>
              <w:rPr>
                <w:rFonts w:hint="eastAsia" w:ascii="黑体" w:hAnsi="黑体" w:eastAsia="黑体"/>
                <w:b/>
                <w:sz w:val="18"/>
                <w:szCs w:val="24"/>
              </w:rPr>
              <w:t>立即或近期整改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967" w:type="dxa"/>
            <w:shd w:val="clear" w:color="auto" w:fill="FFFFFF"/>
            <w:vAlign w:val="center"/>
          </w:tcPr>
          <w:p>
            <w:pPr>
              <w:rPr>
                <w:rFonts w:ascii="黑体" w:hAnsi="黑体" w:eastAsia="黑体"/>
                <w:b/>
                <w:sz w:val="18"/>
                <w:szCs w:val="24"/>
              </w:rPr>
            </w:pPr>
            <w:r>
              <w:rPr>
                <w:rFonts w:ascii="黑体" w:hAnsi="黑体" w:eastAsia="黑体"/>
                <w:b/>
                <w:sz w:val="18"/>
                <w:szCs w:val="24"/>
              </w:rPr>
              <w:t>9-12</w:t>
            </w:r>
          </w:p>
        </w:tc>
        <w:tc>
          <w:tcPr>
            <w:tcW w:w="809" w:type="dxa"/>
            <w:shd w:val="clear" w:color="auto" w:fill="FFFFFF"/>
            <w:vAlign w:val="center"/>
          </w:tcPr>
          <w:p>
            <w:pPr>
              <w:rPr>
                <w:rFonts w:ascii="黑体" w:hAnsi="黑体" w:eastAsia="黑体"/>
                <w:b/>
                <w:sz w:val="18"/>
                <w:szCs w:val="24"/>
              </w:rPr>
            </w:pPr>
            <w:r>
              <w:rPr>
                <w:rFonts w:hint="eastAsia" w:ascii="黑体" w:hAnsi="黑体" w:eastAsia="黑体"/>
                <w:b/>
                <w:sz w:val="18"/>
                <w:szCs w:val="24"/>
              </w:rPr>
              <w:t>C/</w:t>
            </w:r>
            <w:r>
              <w:rPr>
                <w:rFonts w:ascii="黑体" w:hAnsi="黑体" w:eastAsia="黑体"/>
                <w:b/>
                <w:sz w:val="18"/>
                <w:szCs w:val="24"/>
              </w:rPr>
              <w:t>3</w:t>
            </w:r>
            <w:r>
              <w:rPr>
                <w:rFonts w:hint="eastAsia" w:ascii="黑体" w:hAnsi="黑体" w:eastAsia="黑体"/>
                <w:b/>
                <w:sz w:val="18"/>
                <w:szCs w:val="24"/>
              </w:rPr>
              <w:t>级</w:t>
            </w:r>
          </w:p>
        </w:tc>
        <w:tc>
          <w:tcPr>
            <w:tcW w:w="1034" w:type="dxa"/>
            <w:shd w:val="clear" w:color="auto" w:fill="FFFFFF"/>
            <w:vAlign w:val="center"/>
          </w:tcPr>
          <w:p>
            <w:pPr>
              <w:rPr>
                <w:rFonts w:ascii="黑体" w:hAnsi="黑体" w:eastAsia="黑体"/>
                <w:b/>
                <w:sz w:val="18"/>
                <w:szCs w:val="24"/>
              </w:rPr>
            </w:pPr>
            <w:r>
              <w:rPr>
                <w:rFonts w:hint="eastAsia" w:ascii="黑体" w:hAnsi="黑体" w:eastAsia="黑体"/>
                <w:b/>
                <w:sz w:val="18"/>
                <w:szCs w:val="24"/>
              </w:rPr>
              <w:t>显著危险</w:t>
            </w:r>
          </w:p>
        </w:tc>
        <w:tc>
          <w:tcPr>
            <w:tcW w:w="1275" w:type="dxa"/>
            <w:shd w:val="clear" w:color="auto" w:fill="FFFFFF"/>
            <w:vAlign w:val="center"/>
          </w:tcPr>
          <w:p>
            <w:pPr>
              <w:rPr>
                <w:rFonts w:ascii="黑体" w:hAnsi="黑体" w:eastAsia="黑体"/>
                <w:b/>
                <w:color w:val="FF0000"/>
                <w:sz w:val="18"/>
                <w:szCs w:val="24"/>
              </w:rPr>
            </w:pPr>
            <w:r>
              <w:rPr>
                <w:rFonts w:hint="eastAsia" w:ascii="黑体" w:hAnsi="黑体" w:eastAsia="黑体"/>
                <w:b/>
                <w:color w:val="FF0000"/>
                <w:sz w:val="18"/>
                <w:szCs w:val="24"/>
              </w:rPr>
              <w:t>一般风险</w:t>
            </w:r>
          </w:p>
        </w:tc>
        <w:tc>
          <w:tcPr>
            <w:tcW w:w="993" w:type="dxa"/>
            <w:shd w:val="clear" w:color="auto" w:fill="FFFFFF"/>
            <w:vAlign w:val="center"/>
          </w:tcPr>
          <w:p>
            <w:pPr>
              <w:rPr>
                <w:rFonts w:ascii="黑体" w:hAnsi="黑体" w:eastAsia="黑体"/>
                <w:b/>
                <w:color w:val="FF0000"/>
                <w:sz w:val="18"/>
                <w:szCs w:val="24"/>
              </w:rPr>
            </w:pPr>
            <w:r>
              <w:rPr>
                <w:rFonts w:hint="eastAsia" w:ascii="黑体" w:hAnsi="黑体" w:eastAsia="黑体"/>
                <w:b/>
                <w:color w:val="FF0000"/>
                <w:sz w:val="18"/>
                <w:szCs w:val="24"/>
              </w:rPr>
              <w:t>黄</w:t>
            </w:r>
          </w:p>
        </w:tc>
        <w:tc>
          <w:tcPr>
            <w:tcW w:w="1020" w:type="dxa"/>
            <w:vMerge w:val="restart"/>
            <w:shd w:val="clear" w:color="auto" w:fill="FFFFFF"/>
            <w:vAlign w:val="center"/>
          </w:tcPr>
          <w:p>
            <w:pPr>
              <w:rPr>
                <w:rFonts w:ascii="黑体" w:hAnsi="黑体" w:eastAsia="黑体"/>
                <w:b/>
                <w:color w:val="FF0000"/>
                <w:sz w:val="18"/>
                <w:szCs w:val="24"/>
              </w:rPr>
            </w:pPr>
            <w:r>
              <w:rPr>
                <w:rFonts w:hint="eastAsia" w:ascii="黑体" w:hAnsi="黑体" w:eastAsia="黑体"/>
                <w:b/>
                <w:color w:val="FF0000"/>
                <w:sz w:val="18"/>
                <w:szCs w:val="24"/>
              </w:rPr>
              <w:t>班组级</w:t>
            </w:r>
          </w:p>
        </w:tc>
        <w:tc>
          <w:tcPr>
            <w:tcW w:w="2977" w:type="dxa"/>
            <w:shd w:val="clear" w:color="auto" w:fill="FFFFFF"/>
            <w:vAlign w:val="center"/>
          </w:tcPr>
          <w:p>
            <w:pPr>
              <w:rPr>
                <w:rFonts w:ascii="黑体" w:hAnsi="黑体" w:eastAsia="黑体"/>
                <w:b/>
                <w:sz w:val="18"/>
                <w:szCs w:val="24"/>
              </w:rPr>
            </w:pPr>
            <w:r>
              <w:rPr>
                <w:rFonts w:hint="eastAsia" w:ascii="黑体" w:hAnsi="黑体" w:eastAsia="黑体"/>
                <w:b/>
                <w:sz w:val="18"/>
                <w:szCs w:val="24"/>
              </w:rPr>
              <w:t>可考虑建立目标、建立操作规程，加强培训及沟通</w:t>
            </w:r>
          </w:p>
        </w:tc>
        <w:tc>
          <w:tcPr>
            <w:tcW w:w="1531" w:type="dxa"/>
            <w:shd w:val="clear" w:color="auto" w:fill="FFFFFF"/>
            <w:vAlign w:val="center"/>
          </w:tcPr>
          <w:p>
            <w:pPr>
              <w:rPr>
                <w:rFonts w:ascii="黑体" w:hAnsi="黑体" w:eastAsia="黑体"/>
                <w:b/>
                <w:sz w:val="18"/>
                <w:szCs w:val="24"/>
              </w:rPr>
            </w:pPr>
            <w:r>
              <w:rPr>
                <w:rFonts w:ascii="黑体" w:hAnsi="黑体" w:eastAsia="黑体"/>
                <w:b/>
                <w:sz w:val="18"/>
                <w:szCs w:val="24"/>
              </w:rPr>
              <w:t xml:space="preserve">2 </w:t>
            </w:r>
            <w:r>
              <w:rPr>
                <w:rFonts w:hint="eastAsia" w:ascii="黑体" w:hAnsi="黑体" w:eastAsia="黑体"/>
                <w:b/>
                <w:sz w:val="18"/>
                <w:szCs w:val="24"/>
              </w:rPr>
              <w:t>年内治理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967" w:type="dxa"/>
            <w:shd w:val="clear" w:color="auto" w:fill="FFFFFF"/>
            <w:vAlign w:val="center"/>
          </w:tcPr>
          <w:p>
            <w:pPr>
              <w:rPr>
                <w:rFonts w:ascii="黑体" w:hAnsi="黑体" w:eastAsia="黑体"/>
                <w:b/>
                <w:sz w:val="18"/>
                <w:szCs w:val="24"/>
              </w:rPr>
            </w:pPr>
            <w:r>
              <w:rPr>
                <w:rFonts w:ascii="黑体" w:hAnsi="黑体" w:eastAsia="黑体"/>
                <w:b/>
                <w:sz w:val="18"/>
                <w:szCs w:val="24"/>
              </w:rPr>
              <w:t>4-8</w:t>
            </w:r>
          </w:p>
        </w:tc>
        <w:tc>
          <w:tcPr>
            <w:tcW w:w="809" w:type="dxa"/>
            <w:shd w:val="clear" w:color="auto" w:fill="FFFFFF"/>
            <w:vAlign w:val="center"/>
          </w:tcPr>
          <w:p>
            <w:pPr>
              <w:rPr>
                <w:rFonts w:ascii="黑体" w:hAnsi="黑体" w:eastAsia="黑体"/>
                <w:b/>
                <w:sz w:val="18"/>
                <w:szCs w:val="24"/>
              </w:rPr>
            </w:pPr>
            <w:r>
              <w:rPr>
                <w:rFonts w:hint="eastAsia" w:ascii="黑体" w:hAnsi="黑体" w:eastAsia="黑体"/>
                <w:b/>
                <w:sz w:val="18"/>
                <w:szCs w:val="24"/>
              </w:rPr>
              <w:t>D/</w:t>
            </w:r>
            <w:r>
              <w:rPr>
                <w:rFonts w:ascii="黑体" w:hAnsi="黑体" w:eastAsia="黑体"/>
                <w:b/>
                <w:sz w:val="18"/>
                <w:szCs w:val="24"/>
              </w:rPr>
              <w:t>4</w:t>
            </w:r>
            <w:r>
              <w:rPr>
                <w:rFonts w:hint="eastAsia" w:ascii="黑体" w:hAnsi="黑体" w:eastAsia="黑体"/>
                <w:b/>
                <w:sz w:val="18"/>
                <w:szCs w:val="24"/>
              </w:rPr>
              <w:t>级</w:t>
            </w:r>
          </w:p>
        </w:tc>
        <w:tc>
          <w:tcPr>
            <w:tcW w:w="1034" w:type="dxa"/>
            <w:shd w:val="clear" w:color="auto" w:fill="FFFFFF"/>
            <w:vAlign w:val="center"/>
          </w:tcPr>
          <w:p>
            <w:pPr>
              <w:rPr>
                <w:rFonts w:ascii="黑体" w:hAnsi="黑体" w:eastAsia="黑体"/>
                <w:b/>
                <w:sz w:val="18"/>
                <w:szCs w:val="24"/>
              </w:rPr>
            </w:pPr>
            <w:r>
              <w:rPr>
                <w:rFonts w:hint="eastAsia" w:ascii="黑体" w:hAnsi="黑体" w:eastAsia="黑体"/>
                <w:b/>
                <w:sz w:val="18"/>
                <w:szCs w:val="24"/>
              </w:rPr>
              <w:t>轻度危险</w:t>
            </w:r>
          </w:p>
        </w:tc>
        <w:tc>
          <w:tcPr>
            <w:tcW w:w="1275" w:type="dxa"/>
            <w:vMerge w:val="restart"/>
            <w:shd w:val="clear" w:color="auto" w:fill="FFFFFF"/>
            <w:vAlign w:val="center"/>
          </w:tcPr>
          <w:p>
            <w:pPr>
              <w:rPr>
                <w:rFonts w:ascii="黑体" w:hAnsi="黑体" w:eastAsia="黑体"/>
                <w:b/>
                <w:color w:val="FF0000"/>
                <w:sz w:val="18"/>
                <w:szCs w:val="24"/>
              </w:rPr>
            </w:pPr>
            <w:r>
              <w:rPr>
                <w:rFonts w:hint="eastAsia" w:ascii="黑体" w:hAnsi="黑体" w:eastAsia="黑体"/>
                <w:b/>
                <w:color w:val="FF0000"/>
                <w:sz w:val="18"/>
                <w:szCs w:val="24"/>
              </w:rPr>
              <w:t>低风险</w:t>
            </w:r>
          </w:p>
        </w:tc>
        <w:tc>
          <w:tcPr>
            <w:tcW w:w="993" w:type="dxa"/>
            <w:vMerge w:val="restart"/>
            <w:shd w:val="clear" w:color="auto" w:fill="FFFFFF"/>
            <w:vAlign w:val="center"/>
          </w:tcPr>
          <w:p>
            <w:pPr>
              <w:rPr>
                <w:rFonts w:ascii="黑体" w:hAnsi="黑体" w:eastAsia="黑体"/>
                <w:b/>
                <w:color w:val="FF0000"/>
                <w:sz w:val="18"/>
                <w:szCs w:val="24"/>
              </w:rPr>
            </w:pPr>
            <w:r>
              <w:rPr>
                <w:rFonts w:hint="eastAsia" w:ascii="黑体" w:hAnsi="黑体" w:eastAsia="黑体"/>
                <w:b/>
                <w:color w:val="FF0000"/>
                <w:sz w:val="18"/>
                <w:szCs w:val="24"/>
              </w:rPr>
              <w:t>蓝</w:t>
            </w:r>
          </w:p>
        </w:tc>
        <w:tc>
          <w:tcPr>
            <w:tcW w:w="1020" w:type="dxa"/>
            <w:vMerge w:val="continue"/>
            <w:shd w:val="clear" w:color="auto" w:fill="FFFFFF"/>
            <w:vAlign w:val="center"/>
          </w:tcPr>
          <w:p>
            <w:pPr>
              <w:rPr>
                <w:rFonts w:ascii="黑体" w:hAnsi="黑体" w:eastAsia="黑体"/>
                <w:b/>
                <w:sz w:val="18"/>
                <w:szCs w:val="24"/>
              </w:rPr>
            </w:pPr>
          </w:p>
        </w:tc>
        <w:tc>
          <w:tcPr>
            <w:tcW w:w="2977" w:type="dxa"/>
            <w:shd w:val="clear" w:color="auto" w:fill="FFFFFF"/>
            <w:vAlign w:val="center"/>
          </w:tcPr>
          <w:p>
            <w:pPr>
              <w:rPr>
                <w:rFonts w:ascii="黑体" w:hAnsi="黑体" w:eastAsia="黑体"/>
                <w:b/>
                <w:sz w:val="18"/>
                <w:szCs w:val="24"/>
              </w:rPr>
            </w:pPr>
            <w:r>
              <w:rPr>
                <w:rFonts w:hint="eastAsia" w:ascii="黑体" w:hAnsi="黑体" w:eastAsia="黑体"/>
                <w:b/>
                <w:sz w:val="18"/>
                <w:szCs w:val="24"/>
              </w:rPr>
              <w:t>可考虑建立操作规程、作业指导书但需定期检查</w:t>
            </w:r>
          </w:p>
        </w:tc>
        <w:tc>
          <w:tcPr>
            <w:tcW w:w="1531" w:type="dxa"/>
            <w:shd w:val="clear" w:color="auto" w:fill="FFFFFF"/>
            <w:vAlign w:val="center"/>
          </w:tcPr>
          <w:p>
            <w:pPr>
              <w:rPr>
                <w:rFonts w:ascii="黑体" w:hAnsi="黑体" w:eastAsia="黑体"/>
                <w:b/>
                <w:sz w:val="18"/>
                <w:szCs w:val="24"/>
              </w:rPr>
            </w:pPr>
            <w:r>
              <w:rPr>
                <w:rFonts w:hint="eastAsia" w:ascii="黑体" w:hAnsi="黑体" w:eastAsia="黑体"/>
                <w:b/>
                <w:sz w:val="18"/>
                <w:szCs w:val="24"/>
              </w:rPr>
              <w:t>有条件、有经费时治理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967" w:type="dxa"/>
            <w:shd w:val="clear" w:color="auto" w:fill="FFFFFF"/>
            <w:vAlign w:val="center"/>
          </w:tcPr>
          <w:p>
            <w:pPr>
              <w:rPr>
                <w:rFonts w:ascii="黑体" w:hAnsi="黑体" w:eastAsia="黑体"/>
                <w:b/>
                <w:sz w:val="18"/>
                <w:szCs w:val="24"/>
              </w:rPr>
            </w:pPr>
            <w:r>
              <w:rPr>
                <w:rFonts w:hint="eastAsia" w:ascii="黑体" w:hAnsi="黑体" w:eastAsia="黑体"/>
                <w:b/>
                <w:sz w:val="18"/>
                <w:szCs w:val="24"/>
              </w:rPr>
              <w:t>1-3</w:t>
            </w:r>
          </w:p>
        </w:tc>
        <w:tc>
          <w:tcPr>
            <w:tcW w:w="809" w:type="dxa"/>
            <w:shd w:val="clear" w:color="auto" w:fill="FFFFFF"/>
            <w:vAlign w:val="center"/>
          </w:tcPr>
          <w:p>
            <w:pPr>
              <w:rPr>
                <w:rFonts w:ascii="黑体" w:hAnsi="黑体" w:eastAsia="黑体"/>
                <w:b/>
                <w:sz w:val="18"/>
                <w:szCs w:val="24"/>
              </w:rPr>
            </w:pPr>
            <w:r>
              <w:rPr>
                <w:rFonts w:hint="eastAsia" w:ascii="黑体" w:hAnsi="黑体" w:eastAsia="黑体"/>
                <w:b/>
                <w:sz w:val="18"/>
                <w:szCs w:val="24"/>
              </w:rPr>
              <w:t>E/</w:t>
            </w:r>
            <w:r>
              <w:rPr>
                <w:rFonts w:ascii="黑体" w:hAnsi="黑体" w:eastAsia="黑体"/>
                <w:b/>
                <w:sz w:val="18"/>
                <w:szCs w:val="24"/>
              </w:rPr>
              <w:t>5</w:t>
            </w:r>
            <w:r>
              <w:rPr>
                <w:rFonts w:hint="eastAsia" w:ascii="黑体" w:hAnsi="黑体" w:eastAsia="黑体"/>
                <w:b/>
                <w:sz w:val="18"/>
                <w:szCs w:val="24"/>
              </w:rPr>
              <w:t>级</w:t>
            </w:r>
          </w:p>
        </w:tc>
        <w:tc>
          <w:tcPr>
            <w:tcW w:w="1034" w:type="dxa"/>
            <w:shd w:val="clear" w:color="auto" w:fill="FFFFFF"/>
            <w:vAlign w:val="center"/>
          </w:tcPr>
          <w:p>
            <w:pPr>
              <w:rPr>
                <w:rFonts w:ascii="黑体" w:hAnsi="黑体" w:eastAsia="黑体"/>
                <w:b/>
                <w:sz w:val="18"/>
                <w:szCs w:val="24"/>
              </w:rPr>
            </w:pPr>
            <w:r>
              <w:rPr>
                <w:rFonts w:hint="eastAsia" w:ascii="黑体" w:hAnsi="黑体" w:eastAsia="黑体"/>
                <w:b/>
                <w:sz w:val="18"/>
                <w:szCs w:val="24"/>
              </w:rPr>
              <w:t>稍有危险</w:t>
            </w:r>
          </w:p>
        </w:tc>
        <w:tc>
          <w:tcPr>
            <w:tcW w:w="1275" w:type="dxa"/>
            <w:vMerge w:val="continue"/>
            <w:shd w:val="clear" w:color="auto" w:fill="FFFFFF"/>
            <w:vAlign w:val="center"/>
          </w:tcPr>
          <w:p>
            <w:pPr>
              <w:rPr>
                <w:rFonts w:ascii="黑体" w:hAnsi="黑体" w:eastAsia="黑体"/>
                <w:b/>
                <w:sz w:val="18"/>
                <w:szCs w:val="24"/>
              </w:rPr>
            </w:pPr>
          </w:p>
        </w:tc>
        <w:tc>
          <w:tcPr>
            <w:tcW w:w="993" w:type="dxa"/>
            <w:vMerge w:val="continue"/>
            <w:shd w:val="clear" w:color="auto" w:fill="FFFFFF"/>
            <w:vAlign w:val="center"/>
          </w:tcPr>
          <w:p>
            <w:pPr>
              <w:rPr>
                <w:rFonts w:ascii="黑体" w:hAnsi="黑体" w:eastAsia="黑体"/>
                <w:b/>
                <w:sz w:val="18"/>
                <w:szCs w:val="24"/>
              </w:rPr>
            </w:pPr>
          </w:p>
        </w:tc>
        <w:tc>
          <w:tcPr>
            <w:tcW w:w="1020" w:type="dxa"/>
            <w:vMerge w:val="continue"/>
            <w:shd w:val="clear" w:color="auto" w:fill="FFFFFF"/>
            <w:vAlign w:val="center"/>
          </w:tcPr>
          <w:p>
            <w:pPr>
              <w:rPr>
                <w:rFonts w:ascii="黑体" w:hAnsi="黑体" w:eastAsia="黑体"/>
                <w:b/>
                <w:sz w:val="18"/>
                <w:szCs w:val="24"/>
              </w:rPr>
            </w:pPr>
          </w:p>
        </w:tc>
        <w:tc>
          <w:tcPr>
            <w:tcW w:w="2977" w:type="dxa"/>
            <w:shd w:val="clear" w:color="auto" w:fill="FFFFFF"/>
            <w:vAlign w:val="center"/>
          </w:tcPr>
          <w:p>
            <w:pPr>
              <w:rPr>
                <w:rFonts w:ascii="黑体" w:hAnsi="黑体" w:eastAsia="黑体"/>
                <w:b/>
                <w:sz w:val="18"/>
                <w:szCs w:val="24"/>
              </w:rPr>
            </w:pPr>
            <w:r>
              <w:rPr>
                <w:rFonts w:hint="eastAsia" w:ascii="黑体" w:hAnsi="黑体" w:eastAsia="黑体"/>
                <w:b/>
                <w:sz w:val="18"/>
                <w:szCs w:val="24"/>
              </w:rPr>
              <w:t>无需采用控制措施</w:t>
            </w:r>
          </w:p>
        </w:tc>
        <w:tc>
          <w:tcPr>
            <w:tcW w:w="1531" w:type="dxa"/>
            <w:shd w:val="clear" w:color="auto" w:fill="FFFFFF"/>
            <w:vAlign w:val="center"/>
          </w:tcPr>
          <w:p>
            <w:pPr>
              <w:rPr>
                <w:rFonts w:ascii="黑体" w:hAnsi="黑体" w:eastAsia="黑体"/>
                <w:b/>
                <w:sz w:val="18"/>
                <w:szCs w:val="24"/>
              </w:rPr>
            </w:pPr>
            <w:r>
              <w:rPr>
                <w:rFonts w:hint="eastAsia" w:ascii="黑体" w:hAnsi="黑体" w:eastAsia="黑体"/>
                <w:b/>
                <w:sz w:val="18"/>
                <w:szCs w:val="24"/>
              </w:rPr>
              <w:t>需保存记录</w:t>
            </w:r>
          </w:p>
        </w:tc>
      </w:tr>
    </w:tbl>
    <w:p>
      <w:pPr>
        <w:jc w:val="left"/>
        <w:rPr>
          <w:rFonts w:ascii="黑体" w:hAnsi="黑体" w:eastAsia="黑体"/>
          <w:b/>
          <w:sz w:val="24"/>
          <w:szCs w:val="24"/>
        </w:rPr>
      </w:pPr>
      <w:r>
        <w:rPr>
          <w:rFonts w:hint="eastAsia" w:ascii="黑体" w:hAnsi="黑体" w:eastAsia="黑体"/>
          <w:b/>
          <w:sz w:val="24"/>
          <w:szCs w:val="24"/>
        </w:rPr>
        <w:t>2、风险矩阵表</w:t>
      </w:r>
    </w:p>
    <w:p>
      <w:pPr>
        <w:jc w:val="left"/>
        <w:rPr>
          <w:rFonts w:ascii="黑体" w:hAnsi="黑体" w:eastAsia="黑体"/>
          <w:b/>
          <w:sz w:val="24"/>
          <w:szCs w:val="24"/>
        </w:rPr>
      </w:pPr>
      <w:r>
        <w:rPr>
          <w:rFonts w:ascii="黑体" w:hAnsi="黑体" w:eastAsia="黑体"/>
          <w:b/>
          <w:sz w:val="24"/>
          <w:szCs w:val="24"/>
        </w:rPr>
        <w:drawing>
          <wp:inline distT="0" distB="0" distL="0" distR="0">
            <wp:extent cx="2641600" cy="1560830"/>
            <wp:effectExtent l="0" t="0" r="6350" b="127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4" cstate="print"/>
                    <a:srcRect/>
                    <a:stretch>
                      <a:fillRect/>
                    </a:stretch>
                  </pic:blipFill>
                  <pic:spPr>
                    <a:xfrm>
                      <a:off x="0" y="0"/>
                      <a:ext cx="2641600" cy="1561253"/>
                    </a:xfrm>
                    <a:prstGeom prst="rect">
                      <a:avLst/>
                    </a:prstGeom>
                    <a:ln>
                      <a:noFill/>
                    </a:ln>
                  </pic:spPr>
                </pic:pic>
              </a:graphicData>
            </a:graphic>
          </wp:inline>
        </w:drawing>
      </w:r>
    </w:p>
    <w:sectPr>
      <w:pgSz w:w="11906" w:h="16838"/>
      <w:pgMar w:top="851" w:right="964" w:bottom="851"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pStyle w:val="1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0"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1"/>
    <w:multiLevelType w:val="multilevel"/>
    <w:tmpl w:val="00000001"/>
    <w:lvl w:ilvl="0" w:tentative="0">
      <w:start w:val="1"/>
      <w:numFmt w:val="none"/>
      <w:pStyle w:val="22"/>
      <w:suff w:val="nothing"/>
      <w:lvlText w:val="%1——"/>
      <w:lvlJc w:val="left"/>
      <w:pPr>
        <w:ind w:left="833" w:hanging="408"/>
      </w:pPr>
      <w:rPr>
        <w:rFonts w:hint="eastAsia"/>
      </w:rPr>
    </w:lvl>
    <w:lvl w:ilvl="1" w:tentative="0">
      <w:start w:val="1"/>
      <w:numFmt w:val="bullet"/>
      <w:pStyle w:val="19"/>
      <w:lvlText w:val=""/>
      <w:lvlJc w:val="left"/>
      <w:pPr>
        <w:tabs>
          <w:tab w:val="left" w:pos="760"/>
        </w:tabs>
        <w:ind w:left="1264" w:hanging="413"/>
      </w:pPr>
      <w:rPr>
        <w:rFonts w:hint="default" w:ascii="Symbol" w:hAnsi="Symbol"/>
        <w:color w:val="auto"/>
      </w:rPr>
    </w:lvl>
    <w:lvl w:ilvl="2" w:tentative="0">
      <w:start w:val="1"/>
      <w:numFmt w:val="bullet"/>
      <w:pStyle w:val="2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00000002"/>
    <w:multiLevelType w:val="multilevel"/>
    <w:tmpl w:val="00000002"/>
    <w:lvl w:ilvl="0" w:tentative="0">
      <w:start w:val="1"/>
      <w:numFmt w:val="upperLetter"/>
      <w:pStyle w:val="25"/>
      <w:lvlText w:val="%1"/>
      <w:lvlJc w:val="left"/>
      <w:pPr>
        <w:tabs>
          <w:tab w:val="left" w:pos="0"/>
        </w:tabs>
        <w:ind w:left="0" w:hanging="425"/>
      </w:pPr>
      <w:rPr>
        <w:rFonts w:hint="eastAsia"/>
      </w:rPr>
    </w:lvl>
    <w:lvl w:ilvl="1" w:tentative="0">
      <w:start w:val="1"/>
      <w:numFmt w:val="decimal"/>
      <w:pStyle w:val="2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83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styleId="2">
    <w:name w:val="Balloon Text"/>
    <w:basedOn w:val="1"/>
    <w:link w:val="26"/>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段 Char"/>
    <w:link w:val="12"/>
    <w:qFormat/>
    <w:uiPriority w:val="99"/>
    <w:rPr>
      <w:rFonts w:ascii="宋体"/>
    </w:rPr>
  </w:style>
  <w:style w:type="paragraph" w:customStyle="1" w:styleId="12">
    <w:name w:val="段"/>
    <w:link w:val="11"/>
    <w:qFormat/>
    <w:uiPriority w:val="99"/>
    <w:pPr>
      <w:tabs>
        <w:tab w:val="center" w:pos="4201"/>
        <w:tab w:val="right" w:leader="dot" w:pos="9298"/>
      </w:tabs>
      <w:autoSpaceDE w:val="0"/>
      <w:autoSpaceDN w:val="0"/>
      <w:ind w:firstLine="420" w:firstLineChars="200"/>
      <w:jc w:val="both"/>
    </w:pPr>
    <w:rPr>
      <w:rFonts w:ascii="宋体" w:hAnsi="等线" w:eastAsia="等线" w:cs="宋体"/>
      <w:kern w:val="2"/>
      <w:sz w:val="21"/>
      <w:szCs w:val="22"/>
      <w:lang w:val="en-US" w:eastAsia="zh-CN" w:bidi="ar-SA"/>
    </w:rPr>
  </w:style>
  <w:style w:type="character" w:customStyle="1" w:styleId="13">
    <w:name w:val="一级条标题 Char"/>
    <w:link w:val="14"/>
    <w:qFormat/>
    <w:uiPriority w:val="0"/>
    <w:rPr>
      <w:rFonts w:ascii="黑体" w:eastAsia="黑体"/>
      <w:szCs w:val="21"/>
    </w:rPr>
  </w:style>
  <w:style w:type="paragraph" w:customStyle="1" w:styleId="14">
    <w:name w:val="一级条标题"/>
    <w:next w:val="12"/>
    <w:link w:val="13"/>
    <w:qFormat/>
    <w:uiPriority w:val="0"/>
    <w:pPr>
      <w:numPr>
        <w:ilvl w:val="1"/>
        <w:numId w:val="1"/>
      </w:numPr>
      <w:spacing w:before="156" w:beforeLines="50" w:after="156" w:afterLines="50"/>
      <w:outlineLvl w:val="2"/>
    </w:pPr>
    <w:rPr>
      <w:rFonts w:ascii="黑体" w:hAnsi="等线" w:eastAsia="黑体" w:cs="宋体"/>
      <w:kern w:val="2"/>
      <w:sz w:val="21"/>
      <w:szCs w:val="21"/>
      <w:lang w:val="en-US" w:eastAsia="zh-CN" w:bidi="ar-SA"/>
    </w:rPr>
  </w:style>
  <w:style w:type="character" w:customStyle="1" w:styleId="15">
    <w:name w:val="二级条标题 Char"/>
    <w:basedOn w:val="13"/>
    <w:link w:val="16"/>
    <w:qFormat/>
    <w:uiPriority w:val="0"/>
    <w:rPr>
      <w:rFonts w:ascii="黑体" w:eastAsia="黑体"/>
      <w:szCs w:val="21"/>
    </w:rPr>
  </w:style>
  <w:style w:type="paragraph" w:customStyle="1" w:styleId="16">
    <w:name w:val="二级条标题"/>
    <w:basedOn w:val="14"/>
    <w:next w:val="12"/>
    <w:link w:val="15"/>
    <w:qFormat/>
    <w:uiPriority w:val="0"/>
    <w:pPr>
      <w:numPr>
        <w:ilvl w:val="2"/>
        <w:numId w:val="0"/>
      </w:numPr>
      <w:spacing w:before="50" w:after="50"/>
      <w:ind w:left="0"/>
      <w:outlineLvl w:val="3"/>
    </w:pPr>
  </w:style>
  <w:style w:type="character" w:customStyle="1" w:styleId="17">
    <w:name w:val="章标题 Char"/>
    <w:link w:val="18"/>
    <w:uiPriority w:val="0"/>
    <w:rPr>
      <w:rFonts w:ascii="黑体" w:eastAsia="黑体"/>
    </w:rPr>
  </w:style>
  <w:style w:type="paragraph" w:customStyle="1" w:styleId="18">
    <w:name w:val="章标题"/>
    <w:next w:val="12"/>
    <w:link w:val="17"/>
    <w:qFormat/>
    <w:uiPriority w:val="0"/>
    <w:pPr>
      <w:numPr>
        <w:ilvl w:val="0"/>
        <w:numId w:val="1"/>
      </w:numPr>
      <w:spacing w:before="312" w:beforeLines="100" w:after="312" w:afterLines="100"/>
      <w:jc w:val="both"/>
      <w:outlineLvl w:val="1"/>
    </w:pPr>
    <w:rPr>
      <w:rFonts w:ascii="黑体" w:hAnsi="等线" w:eastAsia="黑体" w:cs="宋体"/>
      <w:kern w:val="2"/>
      <w:sz w:val="21"/>
      <w:szCs w:val="22"/>
      <w:lang w:val="en-US" w:eastAsia="zh-CN" w:bidi="ar-SA"/>
    </w:rPr>
  </w:style>
  <w:style w:type="paragraph" w:customStyle="1" w:styleId="19">
    <w:name w:val="列项●（二级）"/>
    <w:qFormat/>
    <w:uiPriority w:val="0"/>
    <w:pPr>
      <w:numPr>
        <w:ilvl w:val="1"/>
        <w:numId w:val="2"/>
      </w:numPr>
      <w:tabs>
        <w:tab w:val="left" w:pos="840"/>
      </w:tabs>
      <w:jc w:val="both"/>
    </w:pPr>
    <w:rPr>
      <w:rFonts w:ascii="宋体" w:hAnsi="Times New Roman" w:eastAsia="宋体" w:cs="Times New Roman"/>
      <w:kern w:val="0"/>
      <w:sz w:val="21"/>
      <w:szCs w:val="20"/>
      <w:lang w:val="en-US" w:eastAsia="zh-CN" w:bidi="ar-SA"/>
    </w:rPr>
  </w:style>
  <w:style w:type="paragraph" w:customStyle="1" w:styleId="20">
    <w:name w:val="附录表标题"/>
    <w:basedOn w:val="1"/>
    <w:next w:val="12"/>
    <w:uiPriority w:val="0"/>
    <w:pPr>
      <w:numPr>
        <w:ilvl w:val="1"/>
        <w:numId w:val="3"/>
      </w:numPr>
      <w:tabs>
        <w:tab w:val="left" w:pos="180"/>
      </w:tabs>
      <w:spacing w:before="50" w:beforeLines="50" w:after="50" w:afterLines="50"/>
      <w:ind w:left="0" w:firstLine="0"/>
      <w:jc w:val="center"/>
    </w:pPr>
    <w:rPr>
      <w:rFonts w:ascii="黑体" w:hAnsi="Times New Roman" w:eastAsia="黑体" w:cs="Times New Roman"/>
      <w:szCs w:val="21"/>
    </w:rPr>
  </w:style>
  <w:style w:type="paragraph" w:customStyle="1" w:styleId="21">
    <w:name w:val="三级条标题"/>
    <w:basedOn w:val="16"/>
    <w:next w:val="12"/>
    <w:qFormat/>
    <w:uiPriority w:val="0"/>
    <w:pPr>
      <w:numPr>
        <w:ilvl w:val="3"/>
        <w:numId w:val="0"/>
      </w:numPr>
      <w:tabs>
        <w:tab w:val="left" w:pos="360"/>
      </w:tabs>
      <w:outlineLvl w:val="4"/>
    </w:pPr>
  </w:style>
  <w:style w:type="paragraph" w:customStyle="1" w:styleId="22">
    <w:name w:val="列项——（一级）"/>
    <w:uiPriority w:val="0"/>
    <w:pPr>
      <w:widowControl w:val="0"/>
      <w:numPr>
        <w:ilvl w:val="0"/>
        <w:numId w:val="2"/>
      </w:numPr>
      <w:jc w:val="both"/>
    </w:pPr>
    <w:rPr>
      <w:rFonts w:ascii="宋体" w:hAnsi="Times New Roman" w:eastAsia="宋体" w:cs="Times New Roman"/>
      <w:kern w:val="0"/>
      <w:sz w:val="21"/>
      <w:szCs w:val="20"/>
      <w:lang w:val="en-US" w:eastAsia="zh-CN" w:bidi="ar-SA"/>
    </w:rPr>
  </w:style>
  <w:style w:type="paragraph" w:customStyle="1" w:styleId="23">
    <w:name w:val="列项◆（三级）"/>
    <w:basedOn w:val="1"/>
    <w:qFormat/>
    <w:uiPriority w:val="0"/>
    <w:pPr>
      <w:numPr>
        <w:ilvl w:val="2"/>
        <w:numId w:val="2"/>
      </w:numPr>
    </w:pPr>
    <w:rPr>
      <w:rFonts w:ascii="宋体" w:hAnsi="Times New Roman" w:eastAsia="宋体" w:cs="Times New Roman"/>
      <w:szCs w:val="21"/>
    </w:rPr>
  </w:style>
  <w:style w:type="paragraph" w:customStyle="1" w:styleId="24">
    <w:name w:val="三级无"/>
    <w:basedOn w:val="21"/>
    <w:qFormat/>
    <w:uiPriority w:val="0"/>
    <w:pPr>
      <w:spacing w:before="0" w:after="0"/>
    </w:pPr>
    <w:rPr>
      <w:rFonts w:ascii="宋体" w:eastAsia="宋体"/>
    </w:rPr>
  </w:style>
  <w:style w:type="paragraph" w:customStyle="1" w:styleId="25">
    <w:name w:val="附录表标号"/>
    <w:basedOn w:val="1"/>
    <w:next w:val="12"/>
    <w:qFormat/>
    <w:uiPriority w:val="0"/>
    <w:pPr>
      <w:numPr>
        <w:ilvl w:val="0"/>
        <w:numId w:val="3"/>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character" w:customStyle="1" w:styleId="26">
    <w:name w:val="批注框文本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2289</Words>
  <Characters>2451</Characters>
  <Paragraphs>114</Paragraphs>
  <TotalTime>0</TotalTime>
  <ScaleCrop>false</ScaleCrop>
  <LinksUpToDate>false</LinksUpToDate>
  <CharactersWithSpaces>2472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2017-12-10T14:26:00Z</dcterms:created>
  <dc:creator>zheng J</dc:creator>
  <cp:lastModifiedBy>LYW</cp:lastModifiedBy>
  <dcterms:modified xsi:type="dcterms:W3CDTF">2018-04-25T07:38:18Z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